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794C1" w14:textId="29395050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noProof/>
          <w:sz w:val="20"/>
          <w:szCs w:val="20"/>
        </w:rPr>
        <w:drawing>
          <wp:inline distT="0" distB="0" distL="0" distR="0" wp14:anchorId="267F5F4C" wp14:editId="00FA9BD8">
            <wp:extent cx="1219200" cy="1219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DBA9B" w14:textId="77777777" w:rsidR="00742434" w:rsidRPr="00021155" w:rsidRDefault="00742434" w:rsidP="0002115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4525C955" w14:textId="068F4ABE" w:rsidR="00643B87" w:rsidRDefault="00C041D4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REPÚBLICA DEMOCRÁTICA DE TIMOR-LESTE</w:t>
      </w:r>
    </w:p>
    <w:p w14:paraId="78EC5B08" w14:textId="77777777" w:rsidR="00C86F1A" w:rsidRPr="00021155" w:rsidRDefault="00C86F1A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A98E28" w14:textId="055CFD94" w:rsidR="00643B87" w:rsidRDefault="00C041D4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IX GOVERNO CONSTITUCIONAL</w:t>
      </w:r>
    </w:p>
    <w:p w14:paraId="6DE0148E" w14:textId="77777777" w:rsidR="00C86F1A" w:rsidRPr="00021155" w:rsidRDefault="00C86F1A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986411" w14:textId="1A9026ED" w:rsidR="002C125D" w:rsidRDefault="00C041D4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MINISTERIO DA JUVENTUDE, DESPORTO, ARTE E CULTURA</w:t>
      </w:r>
    </w:p>
    <w:p w14:paraId="7E3150B2" w14:textId="77777777" w:rsidR="00C86F1A" w:rsidRPr="00021155" w:rsidRDefault="00C86F1A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BF6AEC" w14:textId="44D32CA9" w:rsidR="00643B87" w:rsidRPr="00021155" w:rsidRDefault="00C041D4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COMISSAO NACIONAL DO DESPORTO</w:t>
      </w:r>
    </w:p>
    <w:p w14:paraId="6787C6B3" w14:textId="77777777" w:rsidR="00FE0200" w:rsidRPr="00021155" w:rsidRDefault="00FE0200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8D999B" w14:textId="77777777" w:rsidR="00742434" w:rsidRPr="00021155" w:rsidRDefault="00742434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32A0A9" w14:textId="445F6530" w:rsidR="00FE0200" w:rsidRPr="00021155" w:rsidRDefault="00742434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DELIBERAÇÃO N.º</w:t>
      </w:r>
      <w:r w:rsidR="001A10AF" w:rsidRPr="00021155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A10AF">
        <w:rPr>
          <w:rFonts w:ascii="Verdana" w:hAnsi="Verdana" w:cs="Times New Roman"/>
          <w:b/>
          <w:bCs/>
          <w:sz w:val="20"/>
          <w:szCs w:val="20"/>
        </w:rPr>
        <w:t>…</w:t>
      </w:r>
      <w:r w:rsidRPr="00021155">
        <w:rPr>
          <w:rFonts w:ascii="Verdana" w:hAnsi="Verdana" w:cs="Times New Roman"/>
          <w:b/>
          <w:bCs/>
          <w:sz w:val="20"/>
          <w:szCs w:val="20"/>
        </w:rPr>
        <w:t>/CND/MJDAC/II</w:t>
      </w:r>
      <w:r w:rsidR="006C28B9">
        <w:rPr>
          <w:rFonts w:ascii="Verdana" w:hAnsi="Verdana" w:cs="Times New Roman"/>
          <w:b/>
          <w:bCs/>
          <w:sz w:val="20"/>
          <w:szCs w:val="20"/>
        </w:rPr>
        <w:t>I</w:t>
      </w:r>
      <w:r w:rsidRPr="00021155">
        <w:rPr>
          <w:rFonts w:ascii="Verdana" w:hAnsi="Verdana" w:cs="Times New Roman"/>
          <w:b/>
          <w:bCs/>
          <w:sz w:val="20"/>
          <w:szCs w:val="20"/>
        </w:rPr>
        <w:t>/2024</w:t>
      </w:r>
    </w:p>
    <w:p w14:paraId="30BB3221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C27E2D1" w14:textId="7F5BE59C" w:rsidR="00021155" w:rsidRDefault="00E4489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PROMOVER A </w:t>
      </w:r>
      <w:r w:rsidRPr="00021155">
        <w:rPr>
          <w:rFonts w:ascii="Verdana" w:hAnsi="Verdana" w:cs="Times New Roman"/>
          <w:b/>
          <w:bCs/>
          <w:sz w:val="20"/>
          <w:szCs w:val="20"/>
        </w:rPr>
        <w:t>CRI</w:t>
      </w:r>
      <w:r>
        <w:rPr>
          <w:rFonts w:ascii="Verdana" w:hAnsi="Verdana" w:cs="Times New Roman"/>
          <w:b/>
          <w:bCs/>
          <w:sz w:val="20"/>
          <w:szCs w:val="20"/>
        </w:rPr>
        <w:t>AÇÃO D</w:t>
      </w: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 AGÊNCIA DO DESPORTO LIMPO DE TIMOR-LESTE </w:t>
      </w:r>
    </w:p>
    <w:p w14:paraId="187EF049" w14:textId="6F78F4E0" w:rsidR="00643B87" w:rsidRPr="00021155" w:rsidRDefault="00E4489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E OS SEUS ESTATUTOS </w:t>
      </w:r>
    </w:p>
    <w:p w14:paraId="58D4E142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9D2786A" w14:textId="2BE2A5BC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Hlk107418022"/>
      <w:r w:rsidRPr="00021155">
        <w:rPr>
          <w:rFonts w:ascii="Verdana" w:hAnsi="Verdana" w:cs="Times New Roman"/>
          <w:sz w:val="20"/>
          <w:szCs w:val="20"/>
        </w:rPr>
        <w:t xml:space="preserve">O </w:t>
      </w:r>
      <w:r w:rsidR="002C125D" w:rsidRPr="00021155">
        <w:rPr>
          <w:rFonts w:ascii="Verdana" w:hAnsi="Verdana" w:cs="Times New Roman"/>
          <w:sz w:val="20"/>
          <w:szCs w:val="20"/>
        </w:rPr>
        <w:t>IX</w:t>
      </w:r>
      <w:r w:rsidRPr="00021155">
        <w:rPr>
          <w:rFonts w:ascii="Verdana" w:hAnsi="Verdana" w:cs="Times New Roman"/>
          <w:sz w:val="20"/>
          <w:szCs w:val="20"/>
        </w:rPr>
        <w:t xml:space="preserve"> Governo Constitucional estabeleceu na sua estratégia o desporto como uma área prioritária a desenvolver e a dotar de adequados e eficientes meios, não só para o melhoramento contínuo dos agentes desportivos, mas também para a manutenção de elevados padrões éticos e de prevenção e combate à dopagem.</w:t>
      </w:r>
    </w:p>
    <w:p w14:paraId="1A6279BD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EE50B9F" w14:textId="77777777" w:rsidR="00643B87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A Lei de Bases do Desporto estabelece, no seu artigo 33º, que a prática desportiva deve ser desenvolvida na observância dos princípios da ética desportiva e do fair-play por parte dos agentes participantes, do público e de todos os que, pelo exercício de funções diretivas ou técnicas, integram o processo desportivo. Para além disso, relembra-se que na prossecução da defesa da ética desportiva é função do Estado adotar as medidas tendentes a prevenir e a punir as manifestações antidesportivas, designadamente a violência, a corrupção, a dopagem, a xenofobia e qualquer forma de discriminação social negativa.</w:t>
      </w:r>
    </w:p>
    <w:p w14:paraId="1EC040FA" w14:textId="77777777" w:rsidR="009D4390" w:rsidRPr="009B792D" w:rsidRDefault="009D4390" w:rsidP="009B792D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F216392" w14:textId="28161069" w:rsidR="00AB4719" w:rsidRDefault="00564FE2" w:rsidP="00AB4719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Considerando </w:t>
      </w:r>
      <w:r w:rsidR="00AB4719" w:rsidRPr="00021155">
        <w:rPr>
          <w:rFonts w:ascii="Verdana" w:hAnsi="Verdana" w:cs="Times New Roman"/>
          <w:sz w:val="20"/>
          <w:szCs w:val="20"/>
        </w:rPr>
        <w:t>o artigo 34º da Lei de Bases do Desporto, a proteção do direito dos atletas a participar nas atividades desportivas sem recorrer a substâncias dopantes e métodos interditos, promovendo-se a sua saúde e garantindo-se a equidade e a igualdade no desporto</w:t>
      </w:r>
      <w:r>
        <w:rPr>
          <w:rFonts w:ascii="Verdana" w:hAnsi="Verdana" w:cs="Times New Roman"/>
          <w:sz w:val="20"/>
          <w:szCs w:val="20"/>
        </w:rPr>
        <w:t>.</w:t>
      </w:r>
    </w:p>
    <w:bookmarkEnd w:id="0"/>
    <w:p w14:paraId="5C71A7D3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F4020A6" w14:textId="1759B244" w:rsidR="00643B87" w:rsidRPr="00021155" w:rsidRDefault="008D13CC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Tendo em conta </w:t>
      </w:r>
      <w:r w:rsidR="00643B87" w:rsidRPr="00021155">
        <w:rPr>
          <w:rFonts w:ascii="Verdana" w:hAnsi="Verdana" w:cs="Times New Roman"/>
          <w:sz w:val="20"/>
          <w:szCs w:val="20"/>
        </w:rPr>
        <w:t>que</w:t>
      </w:r>
      <w:r>
        <w:rPr>
          <w:rFonts w:ascii="Verdana" w:hAnsi="Verdana" w:cs="Times New Roman"/>
          <w:sz w:val="20"/>
          <w:szCs w:val="20"/>
        </w:rPr>
        <w:t>,</w:t>
      </w:r>
      <w:r w:rsidR="00643B87" w:rsidRPr="00021155">
        <w:rPr>
          <w:rFonts w:ascii="Verdana" w:hAnsi="Verdana" w:cs="Times New Roman"/>
          <w:sz w:val="20"/>
          <w:szCs w:val="20"/>
        </w:rPr>
        <w:t xml:space="preserve"> o Parlamento Nacional resolveu, sob proposta do Governo e através da Resolução do Parlamento Nacional n.º 2/2016, ratificar, para adesão, a Convenção Internacional contra a Dopagem no Desporto, adotada pela 33ª Sessão da Conferência Geral da UNESCO, em Paris, em 19 de outubro de 2005, e seus Anexos I e II.</w:t>
      </w:r>
    </w:p>
    <w:p w14:paraId="65735347" w14:textId="21228CE5" w:rsidR="00526413" w:rsidRPr="00021155" w:rsidRDefault="00526413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209B0E0" w14:textId="0711D577" w:rsidR="0066498F" w:rsidRPr="00021155" w:rsidRDefault="00526413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Considerando a entrada em vigor do Decreto-Lei</w:t>
      </w:r>
      <w:r w:rsidR="0052584E" w:rsidRPr="00021155">
        <w:rPr>
          <w:rFonts w:ascii="Verdana" w:hAnsi="Verdana" w:cs="Times New Roman"/>
          <w:sz w:val="20"/>
          <w:szCs w:val="20"/>
        </w:rPr>
        <w:t xml:space="preserve"> n.º 60/2022 de 24 de agosto</w:t>
      </w:r>
      <w:r w:rsidRPr="00021155">
        <w:rPr>
          <w:rFonts w:ascii="Verdana" w:hAnsi="Verdana" w:cs="Times New Roman"/>
          <w:sz w:val="20"/>
          <w:szCs w:val="20"/>
        </w:rPr>
        <w:t xml:space="preserve"> que criou</w:t>
      </w:r>
      <w:r w:rsidR="00F36A89" w:rsidRPr="00021155">
        <w:rPr>
          <w:rFonts w:ascii="Verdana" w:hAnsi="Verdana" w:cs="Times New Roman"/>
          <w:sz w:val="20"/>
          <w:szCs w:val="20"/>
        </w:rPr>
        <w:t xml:space="preserve"> a </w:t>
      </w:r>
      <w:r w:rsidR="00BD24FC" w:rsidRPr="00021155">
        <w:rPr>
          <w:rFonts w:ascii="Verdana" w:hAnsi="Verdana" w:cs="Times New Roman"/>
          <w:sz w:val="20"/>
          <w:szCs w:val="20"/>
        </w:rPr>
        <w:t>Comissão</w:t>
      </w:r>
      <w:r w:rsidR="00F36A89" w:rsidRPr="00021155">
        <w:rPr>
          <w:rFonts w:ascii="Verdana" w:hAnsi="Verdana" w:cs="Times New Roman"/>
          <w:sz w:val="20"/>
          <w:szCs w:val="20"/>
        </w:rPr>
        <w:t xml:space="preserve"> Nacional do Desporto e a secção de apoio as áreas da ética e do</w:t>
      </w:r>
      <w:r w:rsidR="003B43A3" w:rsidRPr="00021155">
        <w:rPr>
          <w:rFonts w:ascii="Verdana" w:hAnsi="Verdana" w:cs="Times New Roman"/>
          <w:sz w:val="20"/>
          <w:szCs w:val="20"/>
        </w:rPr>
        <w:t xml:space="preserve"> </w:t>
      </w:r>
      <w:r w:rsidR="00BD24FC" w:rsidRPr="00021155">
        <w:rPr>
          <w:rFonts w:ascii="Verdana" w:hAnsi="Verdana" w:cs="Times New Roman"/>
          <w:sz w:val="20"/>
          <w:szCs w:val="20"/>
        </w:rPr>
        <w:t>antidoping</w:t>
      </w:r>
      <w:r w:rsidR="003B43A3" w:rsidRPr="00021155">
        <w:rPr>
          <w:rFonts w:ascii="Verdana" w:hAnsi="Verdana" w:cs="Times New Roman"/>
          <w:sz w:val="20"/>
          <w:szCs w:val="20"/>
        </w:rPr>
        <w:t xml:space="preserve"> </w:t>
      </w:r>
      <w:r w:rsidR="00BD24FC" w:rsidRPr="00021155">
        <w:rPr>
          <w:rFonts w:ascii="Verdana" w:hAnsi="Verdana" w:cs="Times New Roman"/>
          <w:sz w:val="20"/>
          <w:szCs w:val="20"/>
        </w:rPr>
        <w:t>pelo</w:t>
      </w:r>
      <w:r w:rsidR="0052584E" w:rsidRPr="00021155">
        <w:rPr>
          <w:rFonts w:ascii="Verdana" w:hAnsi="Verdana" w:cs="Times New Roman"/>
          <w:sz w:val="20"/>
          <w:szCs w:val="20"/>
        </w:rPr>
        <w:t xml:space="preserve"> </w:t>
      </w:r>
      <w:r w:rsidR="00BD24FC" w:rsidRPr="00021155">
        <w:rPr>
          <w:rFonts w:ascii="Verdana" w:hAnsi="Verdana" w:cs="Times New Roman"/>
          <w:sz w:val="20"/>
          <w:szCs w:val="20"/>
        </w:rPr>
        <w:t>Comité</w:t>
      </w:r>
      <w:r w:rsidR="0052584E" w:rsidRPr="00021155">
        <w:rPr>
          <w:rFonts w:ascii="Verdana" w:hAnsi="Verdana" w:cs="Times New Roman"/>
          <w:sz w:val="20"/>
          <w:szCs w:val="20"/>
        </w:rPr>
        <w:t xml:space="preserve"> de </w:t>
      </w:r>
      <w:r w:rsidR="00BD24FC" w:rsidRPr="00021155">
        <w:rPr>
          <w:rFonts w:ascii="Verdana" w:hAnsi="Verdana" w:cs="Times New Roman"/>
          <w:sz w:val="20"/>
          <w:szCs w:val="20"/>
        </w:rPr>
        <w:t>Ética</w:t>
      </w:r>
      <w:r w:rsidR="0052584E" w:rsidRPr="00021155">
        <w:rPr>
          <w:rFonts w:ascii="Verdana" w:hAnsi="Verdana" w:cs="Times New Roman"/>
          <w:sz w:val="20"/>
          <w:szCs w:val="20"/>
        </w:rPr>
        <w:t xml:space="preserve"> e Dopagem no Des</w:t>
      </w:r>
      <w:r w:rsidR="00F36A89" w:rsidRPr="00021155">
        <w:rPr>
          <w:rFonts w:ascii="Verdana" w:hAnsi="Verdana" w:cs="Times New Roman"/>
          <w:sz w:val="20"/>
          <w:szCs w:val="20"/>
        </w:rPr>
        <w:t>porto</w:t>
      </w:r>
      <w:r w:rsidRPr="00021155">
        <w:rPr>
          <w:rFonts w:ascii="Verdana" w:hAnsi="Verdana" w:cs="Times New Roman"/>
          <w:sz w:val="20"/>
          <w:szCs w:val="20"/>
        </w:rPr>
        <w:t>, torna-se agora necessário, nos termos definidos</w:t>
      </w:r>
      <w:r w:rsidR="00B933D2" w:rsidRPr="00021155">
        <w:rPr>
          <w:rFonts w:ascii="Verdana" w:hAnsi="Verdana" w:cs="Times New Roman"/>
          <w:sz w:val="20"/>
          <w:szCs w:val="20"/>
        </w:rPr>
        <w:t xml:space="preserve"> pela convenção</w:t>
      </w:r>
      <w:r w:rsidRPr="00021155">
        <w:rPr>
          <w:rFonts w:ascii="Verdana" w:hAnsi="Verdana" w:cs="Times New Roman"/>
          <w:sz w:val="20"/>
          <w:szCs w:val="20"/>
        </w:rPr>
        <w:t xml:space="preserve"> </w:t>
      </w:r>
      <w:r w:rsidR="00B933D2" w:rsidRPr="00021155">
        <w:rPr>
          <w:rFonts w:ascii="Verdana" w:hAnsi="Verdana" w:cs="Times New Roman"/>
          <w:sz w:val="20"/>
          <w:szCs w:val="20"/>
        </w:rPr>
        <w:t>internacional do</w:t>
      </w:r>
      <w:r w:rsidR="0066498F" w:rsidRPr="00021155">
        <w:rPr>
          <w:rFonts w:ascii="Verdana" w:hAnsi="Verdana" w:cs="Times New Roman"/>
          <w:sz w:val="20"/>
          <w:szCs w:val="20"/>
        </w:rPr>
        <w:t xml:space="preserve"> controlo antidoping </w:t>
      </w:r>
      <w:r w:rsidRPr="00021155">
        <w:rPr>
          <w:rFonts w:ascii="Verdana" w:hAnsi="Verdana" w:cs="Times New Roman"/>
          <w:sz w:val="20"/>
          <w:szCs w:val="20"/>
        </w:rPr>
        <w:t xml:space="preserve">proceder à </w:t>
      </w:r>
      <w:r w:rsidR="0066498F" w:rsidRPr="00021155">
        <w:rPr>
          <w:rFonts w:ascii="Verdana" w:hAnsi="Verdana" w:cs="Times New Roman"/>
          <w:sz w:val="20"/>
          <w:szCs w:val="20"/>
        </w:rPr>
        <w:t>estabilização da organização nacional de controlo antidoping.</w:t>
      </w:r>
    </w:p>
    <w:p w14:paraId="33BA0278" w14:textId="77777777" w:rsidR="004C49A6" w:rsidRPr="00021155" w:rsidRDefault="004C49A6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C034181" w14:textId="17AAFEAE" w:rsidR="00937AF8" w:rsidRPr="00021155" w:rsidRDefault="00937AF8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-Roman"/>
          <w:color w:val="000000"/>
          <w:w w:val="99"/>
          <w:sz w:val="20"/>
          <w:szCs w:val="20"/>
        </w:rPr>
        <w:t xml:space="preserve">Considerando o n.º 2 do artigo </w:t>
      </w:r>
      <w:r w:rsidR="00DA5FE8" w:rsidRPr="00021155">
        <w:rPr>
          <w:rFonts w:ascii="Verdana" w:hAnsi="Verdana" w:cs="Times-Roman"/>
          <w:color w:val="000000"/>
          <w:w w:val="99"/>
          <w:sz w:val="20"/>
          <w:szCs w:val="20"/>
        </w:rPr>
        <w:t>8.º da Lei n.º 1/2010</w:t>
      </w:r>
      <w:r w:rsidR="00672A52" w:rsidRPr="00021155">
        <w:rPr>
          <w:rFonts w:ascii="Verdana" w:hAnsi="Verdana" w:cs="Times-Roman"/>
          <w:color w:val="000000"/>
          <w:w w:val="99"/>
          <w:sz w:val="20"/>
          <w:szCs w:val="20"/>
        </w:rPr>
        <w:t>, lei base do desporto para a</w:t>
      </w:r>
      <w:r w:rsidRPr="00021155">
        <w:rPr>
          <w:rFonts w:ascii="Verdana" w:hAnsi="Verdana" w:cs="Times-Roman"/>
          <w:color w:val="000000"/>
          <w:w w:val="99"/>
          <w:sz w:val="20"/>
          <w:szCs w:val="20"/>
        </w:rPr>
        <w:t xml:space="preserve"> prossecução da defesa da ética na </w:t>
      </w:r>
      <w:r w:rsidR="00672A52" w:rsidRPr="00021155">
        <w:rPr>
          <w:rFonts w:ascii="Verdana" w:hAnsi="Verdana" w:cs="Times-Roman"/>
          <w:color w:val="000000"/>
          <w:w w:val="99"/>
          <w:sz w:val="20"/>
          <w:szCs w:val="20"/>
        </w:rPr>
        <w:t>atividade</w:t>
      </w:r>
      <w:r w:rsidRPr="00021155">
        <w:rPr>
          <w:rFonts w:ascii="Verdana" w:hAnsi="Verdana" w:cs="Times-Roman"/>
          <w:color w:val="000000"/>
          <w:w w:val="99"/>
          <w:sz w:val="20"/>
          <w:szCs w:val="20"/>
        </w:rPr>
        <w:t xml:space="preserve"> física e desportiva, é função do Estado </w:t>
      </w:r>
      <w:r w:rsidR="00672A52" w:rsidRPr="00021155">
        <w:rPr>
          <w:rFonts w:ascii="Verdana" w:hAnsi="Verdana" w:cs="Times-Roman"/>
          <w:color w:val="000000"/>
          <w:w w:val="99"/>
          <w:sz w:val="20"/>
          <w:szCs w:val="20"/>
        </w:rPr>
        <w:lastRenderedPageBreak/>
        <w:t>adotar</w:t>
      </w:r>
      <w:r w:rsidRPr="00021155">
        <w:rPr>
          <w:rFonts w:ascii="Verdana" w:hAnsi="Verdana" w:cs="Times-Roman"/>
          <w:color w:val="000000"/>
          <w:w w:val="99"/>
          <w:sz w:val="20"/>
          <w:szCs w:val="20"/>
        </w:rPr>
        <w:t xml:space="preserve"> as medidas tendentes a prevenir e a punir as manifestações antidesportivas, designadamente a violência, a corrupção, a dopagem e qualquer forma de discriminação social.</w:t>
      </w:r>
    </w:p>
    <w:p w14:paraId="6C0E005F" w14:textId="77777777" w:rsidR="00937AF8" w:rsidRPr="00021155" w:rsidRDefault="00937AF8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08E23F" w14:textId="7ABA302E" w:rsidR="004C49A6" w:rsidRDefault="004C49A6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À luz dessa adesão, </w:t>
      </w:r>
      <w:r w:rsidR="004514DD" w:rsidRPr="00021155">
        <w:rPr>
          <w:rFonts w:ascii="Verdana" w:hAnsi="Verdana" w:cs="Times New Roman"/>
          <w:sz w:val="20"/>
          <w:szCs w:val="20"/>
        </w:rPr>
        <w:t xml:space="preserve">e sendo necessário a </w:t>
      </w:r>
      <w:r w:rsidRPr="00021155">
        <w:rPr>
          <w:rFonts w:ascii="Verdana" w:hAnsi="Verdana" w:cs="Times New Roman"/>
          <w:sz w:val="20"/>
          <w:szCs w:val="20"/>
        </w:rPr>
        <w:t>constitui</w:t>
      </w:r>
      <w:r w:rsidR="008A6065" w:rsidRPr="00021155">
        <w:rPr>
          <w:rFonts w:ascii="Verdana" w:hAnsi="Verdana" w:cs="Times New Roman"/>
          <w:sz w:val="20"/>
          <w:szCs w:val="20"/>
        </w:rPr>
        <w:t>ção</w:t>
      </w:r>
      <w:r w:rsidRPr="00021155">
        <w:rPr>
          <w:rFonts w:ascii="Verdana" w:hAnsi="Verdana" w:cs="Times New Roman"/>
          <w:sz w:val="20"/>
          <w:szCs w:val="20"/>
        </w:rPr>
        <w:t xml:space="preserve"> também a </w:t>
      </w:r>
      <w:bookmarkStart w:id="1" w:name="_Hlk160176758"/>
      <w:r w:rsidRPr="00021155">
        <w:rPr>
          <w:rFonts w:ascii="Verdana" w:hAnsi="Verdana" w:cs="Times New Roman"/>
          <w:sz w:val="20"/>
          <w:szCs w:val="20"/>
        </w:rPr>
        <w:t xml:space="preserve">Agência do Desporto Limpo de Timor-Leste (ADLTL), </w:t>
      </w:r>
      <w:bookmarkEnd w:id="1"/>
      <w:r w:rsidRPr="00021155">
        <w:rPr>
          <w:rFonts w:ascii="Verdana" w:hAnsi="Verdana" w:cs="Times New Roman"/>
          <w:sz w:val="20"/>
          <w:szCs w:val="20"/>
        </w:rPr>
        <w:t>com o intuito de salvaguardar os valores do desporto, apostando na prevenção e punição da dopagem em território nacional, no estrito cumprimento da regulamentação desportiva internacional nesta matéria.</w:t>
      </w:r>
    </w:p>
    <w:p w14:paraId="1C1BFA58" w14:textId="77777777" w:rsidR="00CF4FDE" w:rsidRDefault="00CF4FDE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01DDDFA" w14:textId="7615C913" w:rsidR="00CF4FDE" w:rsidRPr="00021155" w:rsidRDefault="00CF4FDE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Considerando que a </w:t>
      </w:r>
      <w:r w:rsidRPr="00CF4FDE">
        <w:rPr>
          <w:rFonts w:ascii="Verdana" w:hAnsi="Verdana" w:cs="Times New Roman"/>
          <w:sz w:val="20"/>
          <w:szCs w:val="20"/>
        </w:rPr>
        <w:t>Agência do Desporto Limpo de Timor-Leste (ADLTL),</w:t>
      </w:r>
      <w:r>
        <w:rPr>
          <w:rFonts w:ascii="Verdana" w:hAnsi="Verdana" w:cs="Times New Roman"/>
          <w:sz w:val="20"/>
          <w:szCs w:val="20"/>
        </w:rPr>
        <w:t xml:space="preserve"> deverá ser constituída pelo direito privado, </w:t>
      </w:r>
      <w:r w:rsidR="00C42FD2">
        <w:rPr>
          <w:rFonts w:ascii="Verdana" w:hAnsi="Verdana" w:cs="Times New Roman"/>
          <w:sz w:val="20"/>
          <w:szCs w:val="20"/>
        </w:rPr>
        <w:t xml:space="preserve">nos termos da lei n.º 10/20211 </w:t>
      </w:r>
      <w:r w:rsidR="00650F8C">
        <w:rPr>
          <w:rFonts w:ascii="Verdana" w:hAnsi="Verdana" w:cs="Times New Roman"/>
          <w:sz w:val="20"/>
          <w:szCs w:val="20"/>
        </w:rPr>
        <w:t xml:space="preserve">de 14 de </w:t>
      </w:r>
      <w:r w:rsidR="00F73B39">
        <w:rPr>
          <w:rFonts w:ascii="Verdana" w:hAnsi="Verdana" w:cs="Times New Roman"/>
          <w:sz w:val="20"/>
          <w:szCs w:val="20"/>
        </w:rPr>
        <w:t>setembro</w:t>
      </w:r>
      <w:r w:rsidR="00650F8C">
        <w:rPr>
          <w:rFonts w:ascii="Verdana" w:hAnsi="Verdana" w:cs="Times New Roman"/>
          <w:sz w:val="20"/>
          <w:szCs w:val="20"/>
        </w:rPr>
        <w:t xml:space="preserve"> que aprova o </w:t>
      </w:r>
      <w:r w:rsidR="00F73B39">
        <w:rPr>
          <w:rFonts w:ascii="Verdana" w:hAnsi="Verdana" w:cs="Times New Roman"/>
          <w:sz w:val="20"/>
          <w:szCs w:val="20"/>
        </w:rPr>
        <w:t>Código</w:t>
      </w:r>
      <w:r w:rsidR="00650F8C">
        <w:rPr>
          <w:rFonts w:ascii="Verdana" w:hAnsi="Verdana" w:cs="Times New Roman"/>
          <w:sz w:val="20"/>
          <w:szCs w:val="20"/>
        </w:rPr>
        <w:t xml:space="preserve"> Civil, e do </w:t>
      </w:r>
      <w:r w:rsidR="00650F8C" w:rsidRPr="00650F8C">
        <w:rPr>
          <w:rFonts w:ascii="Verdana" w:hAnsi="Verdana" w:cs="Times New Roman"/>
          <w:sz w:val="20"/>
          <w:szCs w:val="20"/>
        </w:rPr>
        <w:t>Decreto-Lei n.º 5/2005</w:t>
      </w:r>
      <w:r w:rsidR="00650F8C">
        <w:rPr>
          <w:rFonts w:ascii="Verdana" w:hAnsi="Verdana" w:cs="Times New Roman"/>
          <w:sz w:val="20"/>
          <w:szCs w:val="20"/>
        </w:rPr>
        <w:t>, sobre as associações sem fins lucrativos</w:t>
      </w:r>
      <w:r w:rsidR="009E204F">
        <w:rPr>
          <w:rFonts w:ascii="Verdana" w:hAnsi="Verdana" w:cs="Times New Roman"/>
          <w:sz w:val="20"/>
          <w:szCs w:val="20"/>
        </w:rPr>
        <w:t xml:space="preserve">, não governamentais. </w:t>
      </w:r>
    </w:p>
    <w:p w14:paraId="28BF1A22" w14:textId="77777777" w:rsidR="0066498F" w:rsidRPr="00021155" w:rsidRDefault="0066498F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2AE6EEC" w14:textId="1C20B906" w:rsidR="00FD6F7E" w:rsidRDefault="00BC4056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Assim</w:t>
      </w:r>
      <w:r w:rsidR="000A77AB">
        <w:rPr>
          <w:rFonts w:ascii="Verdana" w:hAnsi="Verdana" w:cs="Times New Roman"/>
          <w:sz w:val="20"/>
          <w:szCs w:val="20"/>
        </w:rPr>
        <w:t>,</w:t>
      </w:r>
      <w:r w:rsidRPr="00021155">
        <w:rPr>
          <w:rFonts w:ascii="Verdana" w:hAnsi="Verdana" w:cs="Times New Roman"/>
          <w:sz w:val="20"/>
          <w:szCs w:val="20"/>
        </w:rPr>
        <w:t xml:space="preserve"> a </w:t>
      </w:r>
      <w:r w:rsidR="00BD24FC" w:rsidRPr="00021155">
        <w:rPr>
          <w:rFonts w:ascii="Verdana" w:hAnsi="Verdana" w:cs="Times New Roman"/>
          <w:sz w:val="20"/>
          <w:szCs w:val="20"/>
        </w:rPr>
        <w:t>Comissão</w:t>
      </w:r>
      <w:r w:rsidRPr="00021155">
        <w:rPr>
          <w:rFonts w:ascii="Verdana" w:hAnsi="Verdana" w:cs="Times New Roman"/>
          <w:sz w:val="20"/>
          <w:szCs w:val="20"/>
        </w:rPr>
        <w:t xml:space="preserve"> Nacional do Desporto,</w:t>
      </w:r>
      <w:r w:rsidR="00186784">
        <w:rPr>
          <w:rFonts w:ascii="Verdana" w:hAnsi="Verdana" w:cs="Times New Roman"/>
          <w:sz w:val="20"/>
          <w:szCs w:val="20"/>
        </w:rPr>
        <w:t xml:space="preserve"> ao abrigo </w:t>
      </w:r>
      <w:r w:rsidR="00F317D7">
        <w:rPr>
          <w:rFonts w:ascii="Verdana" w:hAnsi="Verdana" w:cs="Times New Roman"/>
          <w:sz w:val="20"/>
          <w:szCs w:val="20"/>
        </w:rPr>
        <w:t>da alínea</w:t>
      </w:r>
      <w:r w:rsidR="00186784" w:rsidRPr="002C3E7D">
        <w:rPr>
          <w:rFonts w:ascii="Verdana" w:hAnsi="Verdana" w:cs="Times New Roman"/>
          <w:sz w:val="20"/>
          <w:szCs w:val="20"/>
        </w:rPr>
        <w:t xml:space="preserve"> </w:t>
      </w:r>
      <w:r w:rsidR="00095DAB">
        <w:rPr>
          <w:rFonts w:ascii="Verdana" w:hAnsi="Verdana" w:cs="Times New Roman"/>
          <w:sz w:val="20"/>
          <w:szCs w:val="20"/>
        </w:rPr>
        <w:t>a) e d</w:t>
      </w:r>
      <w:r w:rsidR="00186784" w:rsidRPr="002C3E7D">
        <w:rPr>
          <w:rFonts w:ascii="Verdana" w:hAnsi="Verdana" w:cs="Times New Roman"/>
          <w:sz w:val="20"/>
          <w:szCs w:val="20"/>
        </w:rPr>
        <w:t>) do artigo 5.º do Decreto-Lei N.º 60/2022 de 24 de agosto,</w:t>
      </w:r>
      <w:r w:rsidRPr="00021155">
        <w:rPr>
          <w:rFonts w:ascii="Verdana" w:hAnsi="Verdana" w:cs="Times New Roman"/>
          <w:sz w:val="20"/>
          <w:szCs w:val="20"/>
        </w:rPr>
        <w:t xml:space="preserve"> </w:t>
      </w:r>
      <w:r w:rsidR="00095DAB">
        <w:rPr>
          <w:rFonts w:ascii="Verdana" w:hAnsi="Verdana" w:cs="Times New Roman"/>
          <w:sz w:val="20"/>
          <w:szCs w:val="20"/>
        </w:rPr>
        <w:t>delibera</w:t>
      </w:r>
      <w:r w:rsidR="00CC34ED">
        <w:rPr>
          <w:rFonts w:ascii="Verdana" w:hAnsi="Verdana" w:cs="Times New Roman"/>
          <w:sz w:val="20"/>
          <w:szCs w:val="20"/>
        </w:rPr>
        <w:t xml:space="preserve"> o seguinte:</w:t>
      </w:r>
      <w:r w:rsidR="00F537D1">
        <w:rPr>
          <w:rFonts w:ascii="Verdana" w:hAnsi="Verdana" w:cs="Times New Roman"/>
          <w:sz w:val="20"/>
          <w:szCs w:val="20"/>
        </w:rPr>
        <w:t xml:space="preserve"> </w:t>
      </w:r>
    </w:p>
    <w:p w14:paraId="26B3FB7A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90D8CD0" w14:textId="6718A04F" w:rsidR="00E27DC3" w:rsidRPr="00E27DC3" w:rsidRDefault="00F73B39" w:rsidP="00E27DC3">
      <w:pPr>
        <w:pStyle w:val="PargrafodaLista"/>
        <w:numPr>
          <w:ilvl w:val="0"/>
          <w:numId w:val="4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2" w:name="_Hlk106729757"/>
      <w:r>
        <w:rPr>
          <w:rFonts w:ascii="Verdana" w:hAnsi="Verdana" w:cs="Times New Roman"/>
          <w:b/>
          <w:bCs/>
          <w:sz w:val="20"/>
          <w:szCs w:val="20"/>
        </w:rPr>
        <w:t>Pr</w:t>
      </w:r>
      <w:r w:rsidR="0033359F">
        <w:rPr>
          <w:rFonts w:ascii="Verdana" w:hAnsi="Verdana" w:cs="Times New Roman"/>
          <w:b/>
          <w:bCs/>
          <w:sz w:val="20"/>
          <w:szCs w:val="20"/>
        </w:rPr>
        <w:t>omover</w:t>
      </w:r>
      <w:r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0E349B" w:rsidRPr="00E27DC3">
        <w:rPr>
          <w:rFonts w:ascii="Verdana" w:hAnsi="Verdana" w:cs="Times New Roman"/>
          <w:b/>
          <w:bCs/>
          <w:sz w:val="20"/>
          <w:szCs w:val="20"/>
        </w:rPr>
        <w:t>a criação d</w:t>
      </w:r>
      <w:r w:rsidR="00573068" w:rsidRPr="00E27DC3">
        <w:rPr>
          <w:rFonts w:ascii="Verdana" w:hAnsi="Verdana" w:cs="Times New Roman"/>
          <w:b/>
          <w:bCs/>
          <w:sz w:val="20"/>
          <w:szCs w:val="20"/>
        </w:rPr>
        <w:t xml:space="preserve">a </w:t>
      </w:r>
      <w:r w:rsidR="002C125D" w:rsidRPr="00E27DC3">
        <w:rPr>
          <w:rFonts w:ascii="Verdana" w:hAnsi="Verdana" w:cs="Times New Roman"/>
          <w:b/>
          <w:bCs/>
          <w:sz w:val="20"/>
          <w:szCs w:val="20"/>
        </w:rPr>
        <w:t>Agência</w:t>
      </w:r>
      <w:r w:rsidR="00FD45DE" w:rsidRPr="00E27DC3">
        <w:rPr>
          <w:rFonts w:ascii="Verdana" w:hAnsi="Verdana" w:cs="Times New Roman"/>
          <w:b/>
          <w:bCs/>
          <w:sz w:val="20"/>
          <w:szCs w:val="20"/>
        </w:rPr>
        <w:t xml:space="preserve"> do Desporto Limpo de Timor-Lest</w:t>
      </w:r>
      <w:r w:rsidR="00573068" w:rsidRPr="00E27DC3">
        <w:rPr>
          <w:rFonts w:ascii="Verdana" w:hAnsi="Verdana" w:cs="Times New Roman"/>
          <w:sz w:val="20"/>
          <w:szCs w:val="20"/>
        </w:rPr>
        <w:t xml:space="preserve">e </w:t>
      </w:r>
      <w:r w:rsidR="00643B87" w:rsidRPr="00E27DC3">
        <w:rPr>
          <w:rFonts w:ascii="Verdana" w:hAnsi="Verdana" w:cs="Times New Roman"/>
          <w:b/>
          <w:bCs/>
          <w:sz w:val="20"/>
          <w:szCs w:val="20"/>
        </w:rPr>
        <w:t>(</w:t>
      </w:r>
      <w:r w:rsidR="00F52E19" w:rsidRPr="00E27DC3">
        <w:rPr>
          <w:rFonts w:ascii="Verdana" w:hAnsi="Verdana" w:cs="Times New Roman"/>
          <w:b/>
          <w:bCs/>
          <w:sz w:val="20"/>
          <w:szCs w:val="20"/>
        </w:rPr>
        <w:t>ADLTL</w:t>
      </w:r>
      <w:r w:rsidR="00643B87" w:rsidRPr="00E27DC3">
        <w:rPr>
          <w:rFonts w:ascii="Verdana" w:hAnsi="Verdana" w:cs="Times New Roman"/>
          <w:b/>
          <w:bCs/>
          <w:sz w:val="20"/>
          <w:szCs w:val="20"/>
        </w:rPr>
        <w:t>)</w:t>
      </w:r>
      <w:r w:rsidR="00573068" w:rsidRPr="00E27DC3">
        <w:rPr>
          <w:rFonts w:ascii="Verdana" w:hAnsi="Verdana" w:cs="Times New Roman"/>
          <w:b/>
          <w:bCs/>
          <w:sz w:val="20"/>
          <w:szCs w:val="20"/>
        </w:rPr>
        <w:t>,</w:t>
      </w:r>
      <w:r w:rsidR="00573068" w:rsidRPr="00E27DC3">
        <w:rPr>
          <w:rFonts w:ascii="Verdana" w:hAnsi="Verdana" w:cs="Times New Roman"/>
          <w:sz w:val="20"/>
          <w:szCs w:val="20"/>
        </w:rPr>
        <w:t xml:space="preserve"> que</w:t>
      </w:r>
      <w:r w:rsidR="00715182" w:rsidRPr="00E27DC3">
        <w:rPr>
          <w:rFonts w:ascii="Verdana" w:hAnsi="Verdana" w:cs="Times New Roman"/>
          <w:sz w:val="20"/>
          <w:szCs w:val="20"/>
        </w:rPr>
        <w:t xml:space="preserve"> é competente para a</w:t>
      </w:r>
      <w:r w:rsidR="00643B87" w:rsidRPr="00E27DC3">
        <w:rPr>
          <w:rFonts w:ascii="Verdana" w:hAnsi="Verdana" w:cs="Times New Roman"/>
          <w:sz w:val="20"/>
          <w:szCs w:val="20"/>
        </w:rPr>
        <w:t xml:space="preserve"> promoção dos princípios da ética desportiva e do fair-play por parte de todos os que integram a atividade desportiva e, em especial, à prevenção e punição da dopagem, sendo a entidade responsável pela adoção de regras com vista a desencadear, implementar ou aplicar qualquer fase do procedimento de controlo de dopagem. </w:t>
      </w:r>
    </w:p>
    <w:p w14:paraId="7676E294" w14:textId="76CE816F" w:rsidR="00643B87" w:rsidRPr="00D534EF" w:rsidRDefault="00F317D7" w:rsidP="00D534EF">
      <w:pPr>
        <w:pStyle w:val="Pargrafoda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Recomendar os </w:t>
      </w:r>
      <w:r w:rsidR="00643B87" w:rsidRPr="00D534EF">
        <w:rPr>
          <w:rFonts w:ascii="Verdana" w:hAnsi="Verdana"/>
          <w:b/>
          <w:bCs/>
          <w:sz w:val="20"/>
          <w:szCs w:val="20"/>
        </w:rPr>
        <w:t xml:space="preserve">Estatutos da </w:t>
      </w:r>
      <w:r w:rsidR="002C125D" w:rsidRPr="00D534EF">
        <w:rPr>
          <w:rFonts w:ascii="Verdana" w:hAnsi="Verdana"/>
          <w:b/>
          <w:bCs/>
          <w:sz w:val="20"/>
          <w:szCs w:val="20"/>
        </w:rPr>
        <w:t>Agência</w:t>
      </w:r>
      <w:r w:rsidR="00FD45DE" w:rsidRPr="00D534EF">
        <w:rPr>
          <w:rFonts w:ascii="Verdana" w:hAnsi="Verdana"/>
          <w:b/>
          <w:bCs/>
          <w:sz w:val="20"/>
          <w:szCs w:val="20"/>
        </w:rPr>
        <w:t xml:space="preserve"> do Desporto Limpo de Timor-Leste</w:t>
      </w:r>
      <w:r w:rsidR="00C3637E" w:rsidRPr="00D534EF">
        <w:rPr>
          <w:rFonts w:ascii="Verdana" w:hAnsi="Verdana"/>
          <w:b/>
          <w:bCs/>
          <w:sz w:val="20"/>
          <w:szCs w:val="20"/>
        </w:rPr>
        <w:t xml:space="preserve"> (ADLTL)</w:t>
      </w:r>
      <w:r w:rsidR="00643B87" w:rsidRPr="00D534EF">
        <w:rPr>
          <w:rFonts w:ascii="Verdana" w:hAnsi="Verdana"/>
          <w:sz w:val="20"/>
          <w:szCs w:val="20"/>
        </w:rPr>
        <w:t xml:space="preserve">, constantes do Anexo </w:t>
      </w:r>
      <w:r w:rsidR="00F7522D" w:rsidRPr="00D534EF">
        <w:rPr>
          <w:rFonts w:ascii="Verdana" w:hAnsi="Verdana"/>
          <w:sz w:val="20"/>
          <w:szCs w:val="20"/>
        </w:rPr>
        <w:t>Único</w:t>
      </w:r>
      <w:r w:rsidR="00643B87" w:rsidRPr="00D534EF">
        <w:rPr>
          <w:rFonts w:ascii="Verdana" w:hAnsi="Verdana"/>
          <w:sz w:val="20"/>
          <w:szCs w:val="20"/>
        </w:rPr>
        <w:t xml:space="preserve"> a</w:t>
      </w:r>
      <w:r w:rsidR="00C70F8B" w:rsidRPr="00D534EF">
        <w:rPr>
          <w:rFonts w:ascii="Verdana" w:hAnsi="Verdana"/>
          <w:sz w:val="20"/>
          <w:szCs w:val="20"/>
        </w:rPr>
        <w:t xml:space="preserve"> </w:t>
      </w:r>
      <w:r w:rsidR="002E039D" w:rsidRPr="00D534EF">
        <w:rPr>
          <w:rFonts w:ascii="Verdana" w:hAnsi="Verdana"/>
          <w:sz w:val="20"/>
          <w:szCs w:val="20"/>
        </w:rPr>
        <w:t>presente deliberação</w:t>
      </w:r>
      <w:r w:rsidR="00643B87" w:rsidRPr="00D534EF">
        <w:rPr>
          <w:rFonts w:ascii="Verdana" w:hAnsi="Verdana"/>
          <w:sz w:val="20"/>
          <w:szCs w:val="20"/>
        </w:rPr>
        <w:t xml:space="preserve"> que dele fazem parte integrante</w:t>
      </w:r>
      <w:r w:rsidR="00F7522D" w:rsidRPr="00D534EF">
        <w:rPr>
          <w:rFonts w:ascii="Verdana" w:hAnsi="Verdana"/>
          <w:sz w:val="20"/>
          <w:szCs w:val="20"/>
        </w:rPr>
        <w:t xml:space="preserve">, dando cumprimento ao disposto no n.º </w:t>
      </w:r>
      <w:r w:rsidR="002E039D" w:rsidRPr="00D534EF">
        <w:rPr>
          <w:rFonts w:ascii="Verdana" w:hAnsi="Verdana"/>
          <w:sz w:val="20"/>
          <w:szCs w:val="20"/>
        </w:rPr>
        <w:t>2</w:t>
      </w:r>
      <w:r w:rsidR="00F7522D" w:rsidRPr="00D534EF">
        <w:rPr>
          <w:rFonts w:ascii="Verdana" w:hAnsi="Verdana"/>
          <w:sz w:val="20"/>
          <w:szCs w:val="20"/>
        </w:rPr>
        <w:t xml:space="preserve"> do artigo </w:t>
      </w:r>
      <w:r w:rsidR="002E039D" w:rsidRPr="00D534EF">
        <w:rPr>
          <w:rFonts w:ascii="Verdana" w:hAnsi="Verdana"/>
          <w:sz w:val="20"/>
          <w:szCs w:val="20"/>
        </w:rPr>
        <w:t>8</w:t>
      </w:r>
      <w:r w:rsidR="00F7522D" w:rsidRPr="00D534EF">
        <w:rPr>
          <w:rFonts w:ascii="Verdana" w:hAnsi="Verdana"/>
          <w:sz w:val="20"/>
          <w:szCs w:val="20"/>
        </w:rPr>
        <w:t xml:space="preserve">.º </w:t>
      </w:r>
      <w:r w:rsidR="002E039D" w:rsidRPr="00D534EF">
        <w:rPr>
          <w:rFonts w:ascii="Verdana" w:hAnsi="Verdana"/>
          <w:sz w:val="20"/>
          <w:szCs w:val="20"/>
        </w:rPr>
        <w:t xml:space="preserve">da </w:t>
      </w:r>
      <w:r w:rsidR="00F7522D" w:rsidRPr="00D534EF">
        <w:rPr>
          <w:rFonts w:ascii="Verdana" w:hAnsi="Verdana"/>
          <w:sz w:val="20"/>
          <w:szCs w:val="20"/>
        </w:rPr>
        <w:t>Lei</w:t>
      </w:r>
      <w:r w:rsidR="002E039D" w:rsidRPr="00D534EF">
        <w:rPr>
          <w:rFonts w:ascii="Verdana" w:hAnsi="Verdana"/>
          <w:sz w:val="20"/>
          <w:szCs w:val="20"/>
        </w:rPr>
        <w:t xml:space="preserve"> </w:t>
      </w:r>
      <w:r w:rsidR="00DB0BB3" w:rsidRPr="00D534EF">
        <w:rPr>
          <w:rFonts w:ascii="Verdana" w:hAnsi="Verdana"/>
          <w:sz w:val="20"/>
          <w:szCs w:val="20"/>
        </w:rPr>
        <w:t>1/2010 de 21 de abril</w:t>
      </w:r>
      <w:r w:rsidR="00C2254F" w:rsidRPr="00D534EF">
        <w:rPr>
          <w:rFonts w:ascii="Verdana" w:hAnsi="Verdana"/>
          <w:sz w:val="20"/>
          <w:szCs w:val="20"/>
        </w:rPr>
        <w:t>.</w:t>
      </w:r>
    </w:p>
    <w:p w14:paraId="73AEB5DC" w14:textId="0BFE34B8" w:rsidR="00E573A5" w:rsidRPr="00E27DC3" w:rsidRDefault="00482528" w:rsidP="003775E0">
      <w:pPr>
        <w:pStyle w:val="PargrafodaLista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D534EF">
        <w:rPr>
          <w:rFonts w:ascii="Verdana" w:hAnsi="Verdana"/>
          <w:b/>
          <w:bCs/>
          <w:sz w:val="20"/>
          <w:szCs w:val="20"/>
        </w:rPr>
        <w:t xml:space="preserve">Propor </w:t>
      </w:r>
      <w:r w:rsidR="006E1E4A" w:rsidRPr="00D534EF">
        <w:rPr>
          <w:rFonts w:ascii="Verdana" w:hAnsi="Verdana"/>
          <w:b/>
          <w:bCs/>
          <w:sz w:val="20"/>
          <w:szCs w:val="20"/>
        </w:rPr>
        <w:t>que seja estabelecida a</w:t>
      </w:r>
      <w:r w:rsidR="00B7160A" w:rsidRPr="00D534EF">
        <w:rPr>
          <w:rFonts w:ascii="Verdana" w:hAnsi="Verdana"/>
          <w:b/>
          <w:bCs/>
          <w:sz w:val="20"/>
          <w:szCs w:val="20"/>
        </w:rPr>
        <w:t xml:space="preserve"> </w:t>
      </w:r>
      <w:r w:rsidR="006E1E4A" w:rsidRPr="00D534EF">
        <w:rPr>
          <w:rFonts w:ascii="Verdana" w:hAnsi="Verdana"/>
          <w:b/>
          <w:bCs/>
          <w:sz w:val="20"/>
          <w:szCs w:val="20"/>
        </w:rPr>
        <w:t>organização</w:t>
      </w:r>
      <w:r w:rsidR="00B7160A" w:rsidRPr="00D534EF">
        <w:rPr>
          <w:rFonts w:ascii="Verdana" w:hAnsi="Verdana"/>
          <w:b/>
          <w:bCs/>
          <w:sz w:val="20"/>
          <w:szCs w:val="20"/>
        </w:rPr>
        <w:t xml:space="preserve"> ADLTL,</w:t>
      </w:r>
      <w:r w:rsidR="006E1E4A" w:rsidRPr="00B8732B">
        <w:rPr>
          <w:rFonts w:ascii="Verdana" w:hAnsi="Verdana"/>
          <w:sz w:val="20"/>
          <w:szCs w:val="20"/>
        </w:rPr>
        <w:t xml:space="preserve"> </w:t>
      </w:r>
      <w:r w:rsidR="00A256D0" w:rsidRPr="00B8732B">
        <w:rPr>
          <w:rFonts w:ascii="Verdana" w:hAnsi="Verdana"/>
          <w:sz w:val="20"/>
          <w:szCs w:val="20"/>
        </w:rPr>
        <w:t>de</w:t>
      </w:r>
      <w:r w:rsidR="006E1E4A" w:rsidRPr="00B8732B">
        <w:rPr>
          <w:rFonts w:ascii="Verdana" w:hAnsi="Verdana"/>
          <w:sz w:val="20"/>
          <w:szCs w:val="20"/>
        </w:rPr>
        <w:t xml:space="preserve"> modo </w:t>
      </w:r>
      <w:r w:rsidR="00A256D0" w:rsidRPr="00B8732B">
        <w:rPr>
          <w:rFonts w:ascii="Verdana" w:hAnsi="Verdana"/>
          <w:sz w:val="20"/>
          <w:szCs w:val="20"/>
        </w:rPr>
        <w:t>a</w:t>
      </w:r>
      <w:r w:rsidR="006E1E4A" w:rsidRPr="00B8732B">
        <w:rPr>
          <w:rFonts w:ascii="Verdana" w:hAnsi="Verdana"/>
          <w:sz w:val="20"/>
          <w:szCs w:val="20"/>
        </w:rPr>
        <w:t xml:space="preserve"> funciona</w:t>
      </w:r>
      <w:r w:rsidR="00A256D0" w:rsidRPr="00B8732B">
        <w:rPr>
          <w:rFonts w:ascii="Verdana" w:hAnsi="Verdana"/>
          <w:sz w:val="20"/>
          <w:szCs w:val="20"/>
        </w:rPr>
        <w:t>r</w:t>
      </w:r>
      <w:r w:rsidR="006E1E4A" w:rsidRPr="00B8732B">
        <w:rPr>
          <w:rFonts w:ascii="Verdana" w:hAnsi="Verdana"/>
          <w:sz w:val="20"/>
          <w:szCs w:val="20"/>
        </w:rPr>
        <w:t xml:space="preserve">, pelo direito privado, </w:t>
      </w:r>
      <w:r w:rsidR="003671E4" w:rsidRPr="00B8732B">
        <w:rPr>
          <w:rFonts w:ascii="Verdana" w:hAnsi="Verdana"/>
          <w:sz w:val="20"/>
          <w:szCs w:val="20"/>
        </w:rPr>
        <w:t>procedendo a</w:t>
      </w:r>
      <w:r w:rsidR="006E1E4A" w:rsidRPr="00B8732B">
        <w:rPr>
          <w:rFonts w:ascii="Verdana" w:hAnsi="Verdana"/>
          <w:sz w:val="20"/>
          <w:szCs w:val="20"/>
        </w:rPr>
        <w:t xml:space="preserve">o registo na Direção Nacional de Registos e Notariado como uma associação sem fins lucrativos nos termos do </w:t>
      </w:r>
      <w:bookmarkStart w:id="3" w:name="_Hlk160176907"/>
      <w:r w:rsidR="006E1E4A" w:rsidRPr="00B8732B">
        <w:rPr>
          <w:rFonts w:ascii="Verdana" w:hAnsi="Verdana"/>
          <w:sz w:val="20"/>
          <w:szCs w:val="20"/>
        </w:rPr>
        <w:t>Decreto-Lei n.º 5/2005</w:t>
      </w:r>
      <w:bookmarkEnd w:id="3"/>
      <w:r w:rsidR="006E1E4A" w:rsidRPr="00B8732B">
        <w:rPr>
          <w:rFonts w:ascii="Verdana" w:hAnsi="Verdana"/>
          <w:sz w:val="20"/>
          <w:szCs w:val="20"/>
        </w:rPr>
        <w:t>, de 7 de setembro</w:t>
      </w:r>
      <w:r w:rsidR="00B8732B">
        <w:rPr>
          <w:rFonts w:ascii="Verdana" w:hAnsi="Verdana"/>
          <w:sz w:val="20"/>
          <w:szCs w:val="20"/>
        </w:rPr>
        <w:t>.</w:t>
      </w:r>
    </w:p>
    <w:bookmarkEnd w:id="2"/>
    <w:p w14:paraId="7217AFF2" w14:textId="7875C031" w:rsidR="00B10898" w:rsidRPr="00E03D59" w:rsidRDefault="00E573A5" w:rsidP="009A25B8">
      <w:pPr>
        <w:pStyle w:val="PargrafodaLista"/>
        <w:numPr>
          <w:ilvl w:val="0"/>
          <w:numId w:val="47"/>
        </w:numPr>
        <w:jc w:val="both"/>
        <w:rPr>
          <w:rFonts w:ascii="Verdana" w:hAnsi="Verdana" w:cs="Times New Roman"/>
          <w:sz w:val="20"/>
          <w:szCs w:val="20"/>
        </w:rPr>
      </w:pPr>
      <w:r w:rsidRPr="00E03D59">
        <w:rPr>
          <w:rFonts w:ascii="Verdana" w:hAnsi="Verdana" w:cs="Times New Roman"/>
          <w:b/>
          <w:bCs/>
          <w:sz w:val="20"/>
          <w:szCs w:val="20"/>
        </w:rPr>
        <w:t>Indicar os 10 fundadores</w:t>
      </w:r>
      <w:r w:rsidR="001467F6" w:rsidRPr="00E03D59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E54A3" w:rsidRPr="00E03D59">
        <w:rPr>
          <w:rFonts w:ascii="Verdana" w:hAnsi="Verdana" w:cs="Times New Roman"/>
          <w:b/>
          <w:bCs/>
          <w:sz w:val="20"/>
          <w:szCs w:val="20"/>
        </w:rPr>
        <w:t>para a</w:t>
      </w:r>
      <w:r w:rsidR="001467F6" w:rsidRPr="00E03D59">
        <w:rPr>
          <w:rFonts w:ascii="Verdana" w:hAnsi="Verdana" w:cs="Times New Roman"/>
          <w:b/>
          <w:bCs/>
          <w:sz w:val="20"/>
          <w:szCs w:val="20"/>
        </w:rPr>
        <w:t xml:space="preserve"> ADLTL</w:t>
      </w:r>
      <w:r w:rsidR="00AC0E77" w:rsidRPr="00E03D59">
        <w:rPr>
          <w:rFonts w:ascii="Verdana" w:hAnsi="Verdana" w:cs="Times New Roman"/>
          <w:sz w:val="20"/>
          <w:szCs w:val="20"/>
        </w:rPr>
        <w:t>,</w:t>
      </w:r>
      <w:r w:rsidR="00FE062A" w:rsidRPr="00E03D59">
        <w:rPr>
          <w:rFonts w:ascii="Verdana" w:hAnsi="Verdana" w:cs="Times New Roman"/>
          <w:sz w:val="20"/>
          <w:szCs w:val="20"/>
        </w:rPr>
        <w:t xml:space="preserve"> para aprov</w:t>
      </w:r>
      <w:r w:rsidR="00F63067" w:rsidRPr="00E03D59">
        <w:rPr>
          <w:rFonts w:ascii="Verdana" w:hAnsi="Verdana" w:cs="Times New Roman"/>
          <w:sz w:val="20"/>
          <w:szCs w:val="20"/>
        </w:rPr>
        <w:t>ar</w:t>
      </w:r>
      <w:r w:rsidR="00FE062A" w:rsidRPr="00E03D59">
        <w:rPr>
          <w:rFonts w:ascii="Verdana" w:hAnsi="Verdana" w:cs="Times New Roman"/>
          <w:sz w:val="20"/>
          <w:szCs w:val="20"/>
        </w:rPr>
        <w:t xml:space="preserve"> os Estatutos e</w:t>
      </w:r>
      <w:r w:rsidR="001467F6" w:rsidRPr="00E03D59">
        <w:rPr>
          <w:rFonts w:ascii="Verdana" w:hAnsi="Verdana" w:cs="Times New Roman"/>
          <w:sz w:val="20"/>
          <w:szCs w:val="20"/>
        </w:rPr>
        <w:t xml:space="preserve"> </w:t>
      </w:r>
      <w:r w:rsidR="00F63067" w:rsidRPr="00E03D59">
        <w:rPr>
          <w:rFonts w:ascii="Verdana" w:hAnsi="Verdana" w:cs="Times New Roman"/>
          <w:sz w:val="20"/>
          <w:szCs w:val="20"/>
        </w:rPr>
        <w:t xml:space="preserve">proceder </w:t>
      </w:r>
      <w:r w:rsidR="001939AE" w:rsidRPr="00E03D59">
        <w:rPr>
          <w:rFonts w:ascii="Verdana" w:hAnsi="Verdana" w:cs="Times New Roman"/>
          <w:sz w:val="20"/>
          <w:szCs w:val="20"/>
        </w:rPr>
        <w:t xml:space="preserve">a </w:t>
      </w:r>
      <w:r w:rsidR="001939AE" w:rsidRPr="00E03D59">
        <w:rPr>
          <w:rFonts w:ascii="Verdana" w:hAnsi="Verdana" w:cs="Times New Roman"/>
          <w:b/>
          <w:bCs/>
          <w:sz w:val="20"/>
          <w:szCs w:val="20"/>
        </w:rPr>
        <w:t>nomeação</w:t>
      </w:r>
      <w:r w:rsidR="00B10898" w:rsidRPr="00E03D59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B42F2" w:rsidRPr="00E03D59">
        <w:rPr>
          <w:rFonts w:ascii="Verdana" w:hAnsi="Verdana" w:cs="Times New Roman"/>
          <w:b/>
          <w:bCs/>
          <w:sz w:val="20"/>
          <w:szCs w:val="20"/>
        </w:rPr>
        <w:t xml:space="preserve">em </w:t>
      </w:r>
      <w:r w:rsidR="00E03D59">
        <w:rPr>
          <w:rFonts w:ascii="Verdana" w:hAnsi="Verdana" w:cs="Times New Roman"/>
          <w:b/>
          <w:bCs/>
          <w:sz w:val="20"/>
          <w:szCs w:val="20"/>
        </w:rPr>
        <w:t>c</w:t>
      </w:r>
      <w:r w:rsidR="001B42F2" w:rsidRPr="00E03D59">
        <w:rPr>
          <w:rFonts w:ascii="Verdana" w:hAnsi="Verdana" w:cs="Times New Roman"/>
          <w:b/>
          <w:bCs/>
          <w:sz w:val="20"/>
          <w:szCs w:val="20"/>
        </w:rPr>
        <w:t xml:space="preserve">onjunto </w:t>
      </w:r>
      <w:r w:rsidR="00635052" w:rsidRPr="00E03D59">
        <w:rPr>
          <w:rFonts w:ascii="Verdana" w:hAnsi="Verdana" w:cs="Times New Roman"/>
          <w:b/>
          <w:bCs/>
          <w:sz w:val="20"/>
          <w:szCs w:val="20"/>
        </w:rPr>
        <w:t xml:space="preserve">para o </w:t>
      </w:r>
      <w:r w:rsidR="001B42F2" w:rsidRPr="00E03D59">
        <w:rPr>
          <w:rFonts w:ascii="Verdana" w:hAnsi="Verdana" w:cs="Times New Roman"/>
          <w:b/>
          <w:bCs/>
          <w:sz w:val="20"/>
          <w:szCs w:val="20"/>
        </w:rPr>
        <w:t xml:space="preserve">Presidente e dos dois Vogais </w:t>
      </w:r>
      <w:r w:rsidR="00B10898" w:rsidRPr="00E03D59">
        <w:rPr>
          <w:rFonts w:ascii="Verdana" w:hAnsi="Verdana" w:cs="Times New Roman"/>
          <w:b/>
          <w:bCs/>
          <w:sz w:val="20"/>
          <w:szCs w:val="20"/>
        </w:rPr>
        <w:t>do Conselho de Administração</w:t>
      </w:r>
      <w:r w:rsidR="00AC0E77" w:rsidRPr="00E03D59">
        <w:rPr>
          <w:rFonts w:ascii="Verdana" w:hAnsi="Verdana" w:cs="Times New Roman"/>
          <w:b/>
          <w:bCs/>
          <w:sz w:val="20"/>
          <w:szCs w:val="20"/>
        </w:rPr>
        <w:t xml:space="preserve"> da ADLTL</w:t>
      </w:r>
      <w:r w:rsidR="0000751A">
        <w:rPr>
          <w:rFonts w:ascii="Verdana" w:hAnsi="Verdana" w:cs="Times New Roman"/>
          <w:b/>
          <w:bCs/>
          <w:sz w:val="20"/>
          <w:szCs w:val="20"/>
        </w:rPr>
        <w:t xml:space="preserve"> e o 3 elementos do Conselho </w:t>
      </w:r>
      <w:r w:rsidR="00882681">
        <w:rPr>
          <w:rFonts w:ascii="Verdana" w:hAnsi="Verdana" w:cs="Times New Roman"/>
          <w:b/>
          <w:bCs/>
          <w:sz w:val="20"/>
          <w:szCs w:val="20"/>
        </w:rPr>
        <w:t>F</w:t>
      </w:r>
      <w:r w:rsidR="0000751A">
        <w:rPr>
          <w:rFonts w:ascii="Verdana" w:hAnsi="Verdana" w:cs="Times New Roman"/>
          <w:b/>
          <w:bCs/>
          <w:sz w:val="20"/>
          <w:szCs w:val="20"/>
        </w:rPr>
        <w:t>iscal</w:t>
      </w:r>
      <w:r w:rsidR="00882681">
        <w:rPr>
          <w:rFonts w:ascii="Verdana" w:hAnsi="Verdana" w:cs="Times New Roman"/>
          <w:b/>
          <w:bCs/>
          <w:sz w:val="20"/>
          <w:szCs w:val="20"/>
        </w:rPr>
        <w:t xml:space="preserve"> da ADLTL.</w:t>
      </w:r>
    </w:p>
    <w:p w14:paraId="2DBE1DF4" w14:textId="77777777" w:rsidR="001F2E02" w:rsidRDefault="001F2E02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75F0DFE" w14:textId="4FF79883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4C4B">
        <w:rPr>
          <w:rFonts w:ascii="Verdana" w:hAnsi="Verdana" w:cs="Times New Roman"/>
          <w:sz w:val="20"/>
          <w:szCs w:val="20"/>
        </w:rPr>
        <w:t>A presente deliberação foi aprovada por unanimidade</w:t>
      </w:r>
      <w:r w:rsidR="00186DF7">
        <w:rPr>
          <w:rFonts w:ascii="Verdana" w:hAnsi="Verdana" w:cs="Times New Roman"/>
          <w:sz w:val="20"/>
          <w:szCs w:val="20"/>
        </w:rPr>
        <w:t>, pelos</w:t>
      </w:r>
      <w:r w:rsidRPr="00234C4B">
        <w:rPr>
          <w:rFonts w:ascii="Verdana" w:hAnsi="Verdana" w:cs="Times New Roman"/>
          <w:sz w:val="20"/>
          <w:szCs w:val="20"/>
        </w:rPr>
        <w:t xml:space="preserve"> comissários presentes no dia </w:t>
      </w:r>
      <w:r w:rsidR="001F2E02">
        <w:rPr>
          <w:rFonts w:ascii="Verdana" w:hAnsi="Verdana" w:cs="Times New Roman"/>
          <w:sz w:val="20"/>
          <w:szCs w:val="20"/>
        </w:rPr>
        <w:t>……</w:t>
      </w:r>
      <w:r w:rsidRPr="00234C4B">
        <w:rPr>
          <w:rFonts w:ascii="Verdana" w:hAnsi="Verdana" w:cs="Times New Roman"/>
          <w:sz w:val="20"/>
          <w:szCs w:val="20"/>
        </w:rPr>
        <w:t xml:space="preserve"> de </w:t>
      </w:r>
      <w:r w:rsidR="001F2E02">
        <w:rPr>
          <w:rFonts w:ascii="Verdana" w:hAnsi="Verdana" w:cs="Times New Roman"/>
          <w:sz w:val="20"/>
          <w:szCs w:val="20"/>
        </w:rPr>
        <w:t>……………….</w:t>
      </w:r>
      <w:r w:rsidRPr="00234C4B">
        <w:rPr>
          <w:rFonts w:ascii="Verdana" w:hAnsi="Verdana" w:cs="Times New Roman"/>
          <w:sz w:val="20"/>
          <w:szCs w:val="20"/>
        </w:rPr>
        <w:t xml:space="preserve"> de 202</w:t>
      </w:r>
      <w:r w:rsidR="00186DF7">
        <w:rPr>
          <w:rFonts w:ascii="Verdana" w:hAnsi="Verdana" w:cs="Times New Roman"/>
          <w:sz w:val="20"/>
          <w:szCs w:val="20"/>
        </w:rPr>
        <w:t>4</w:t>
      </w:r>
      <w:r w:rsidRPr="00234C4B">
        <w:rPr>
          <w:rFonts w:ascii="Verdana" w:hAnsi="Verdana" w:cs="Times New Roman"/>
          <w:sz w:val="20"/>
          <w:szCs w:val="20"/>
        </w:rPr>
        <w:t>.</w:t>
      </w:r>
    </w:p>
    <w:p w14:paraId="74A8A62E" w14:textId="77777777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4FC3BE9" w14:textId="77777777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B92FD3C" w14:textId="77777777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109CB5A" w14:textId="77777777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4C4B">
        <w:rPr>
          <w:rFonts w:ascii="Verdana" w:hAnsi="Verdana" w:cs="Times New Roman"/>
          <w:sz w:val="20"/>
          <w:szCs w:val="20"/>
        </w:rPr>
        <w:t>O Presidente da CND</w:t>
      </w:r>
    </w:p>
    <w:p w14:paraId="5FCB0C64" w14:textId="7E2460CD" w:rsidR="00234C4B" w:rsidRPr="00234C4B" w:rsidRDefault="00186DF7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Nelyo Isaac Sarmento</w:t>
      </w:r>
    </w:p>
    <w:p w14:paraId="2BD723C8" w14:textId="77777777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E8E5DDE" w14:textId="77777777" w:rsidR="00AD5B39" w:rsidRDefault="00AD5B39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847689" w14:textId="5CC7F853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4C4B">
        <w:rPr>
          <w:rFonts w:ascii="Verdana" w:hAnsi="Verdana" w:cs="Times New Roman"/>
          <w:sz w:val="20"/>
          <w:szCs w:val="20"/>
        </w:rPr>
        <w:t xml:space="preserve">Os Comissários da CND, </w:t>
      </w:r>
    </w:p>
    <w:p w14:paraId="2FC45F88" w14:textId="77777777" w:rsidR="00234C4B" w:rsidRPr="00234C4B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36242C9" w14:textId="77777777" w:rsidR="00AC4496" w:rsidRDefault="00186DF7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4C4B">
        <w:rPr>
          <w:rFonts w:ascii="Verdana" w:hAnsi="Verdana" w:cs="Times New Roman"/>
          <w:sz w:val="20"/>
          <w:szCs w:val="20"/>
        </w:rPr>
        <w:t>Mateus da Cruz</w:t>
      </w:r>
      <w:r w:rsidR="00234C4B" w:rsidRPr="00234C4B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</w:t>
      </w:r>
    </w:p>
    <w:p w14:paraId="094BAC69" w14:textId="77777777" w:rsidR="00AC4496" w:rsidRDefault="00AC1FBF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Maria Domingas Fernandes Alves, </w:t>
      </w:r>
    </w:p>
    <w:p w14:paraId="2D78DE36" w14:textId="77777777" w:rsidR="00AC4496" w:rsidRDefault="008C7F02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Macário</w:t>
      </w:r>
      <w:r w:rsidR="00F9692C">
        <w:rPr>
          <w:rFonts w:ascii="Verdana" w:hAnsi="Verdana" w:cs="Times New Roman"/>
          <w:sz w:val="20"/>
          <w:szCs w:val="20"/>
        </w:rPr>
        <w:t xml:space="preserve"> F. San</w:t>
      </w:r>
      <w:r w:rsidR="000B397A">
        <w:rPr>
          <w:rFonts w:ascii="Verdana" w:hAnsi="Verdana" w:cs="Times New Roman"/>
          <w:sz w:val="20"/>
          <w:szCs w:val="20"/>
        </w:rPr>
        <w:t xml:space="preserve">ches, </w:t>
      </w:r>
    </w:p>
    <w:p w14:paraId="52B63B54" w14:textId="2BE28E46" w:rsidR="00AC4496" w:rsidRDefault="00CC0868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Olivia de Jesus, </w:t>
      </w:r>
    </w:p>
    <w:p w14:paraId="1002AA2A" w14:textId="77777777" w:rsidR="00AC4496" w:rsidRDefault="00CC0868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Edegar F. Quintas da Silva</w:t>
      </w:r>
      <w:r w:rsidR="00387EB7">
        <w:rPr>
          <w:rFonts w:ascii="Verdana" w:hAnsi="Verdana" w:cs="Times New Roman"/>
          <w:sz w:val="20"/>
          <w:szCs w:val="20"/>
        </w:rPr>
        <w:t xml:space="preserve">, </w:t>
      </w:r>
    </w:p>
    <w:p w14:paraId="5D4FFA2C" w14:textId="77777777" w:rsidR="00AC4496" w:rsidRDefault="00234C4B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4C4B">
        <w:rPr>
          <w:rFonts w:ascii="Verdana" w:hAnsi="Verdana" w:cs="Times New Roman"/>
          <w:sz w:val="20"/>
          <w:szCs w:val="20"/>
        </w:rPr>
        <w:t xml:space="preserve">Aniceto Berlelo, </w:t>
      </w:r>
    </w:p>
    <w:p w14:paraId="688954F9" w14:textId="77777777" w:rsidR="00AC4496" w:rsidRDefault="007B21BC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Fancisco </w:t>
      </w:r>
      <w:r w:rsidR="00137D0E">
        <w:rPr>
          <w:rFonts w:ascii="Verdana" w:hAnsi="Verdana" w:cs="Times New Roman"/>
          <w:sz w:val="20"/>
          <w:szCs w:val="20"/>
        </w:rPr>
        <w:t>Borges,</w:t>
      </w:r>
    </w:p>
    <w:p w14:paraId="6FDB6391" w14:textId="2BB2D74E" w:rsidR="001F2E02" w:rsidRDefault="001F2E02" w:rsidP="00234C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Duarte da Silva Magno,</w:t>
      </w:r>
    </w:p>
    <w:p w14:paraId="19C19D75" w14:textId="48D6E033" w:rsidR="001F2E02" w:rsidRDefault="00387EB7" w:rsidP="0062722A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Gustodio de Jesus Alves</w:t>
      </w:r>
      <w:r w:rsidR="00137D0E">
        <w:rPr>
          <w:rFonts w:ascii="Verdana" w:hAnsi="Verdana" w:cs="Times New Roman"/>
          <w:sz w:val="20"/>
          <w:szCs w:val="20"/>
        </w:rPr>
        <w:t>.</w:t>
      </w:r>
    </w:p>
    <w:p w14:paraId="367631D4" w14:textId="564B1716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ANEXO </w:t>
      </w:r>
      <w:r w:rsidR="00F7522D" w:rsidRPr="00021155">
        <w:rPr>
          <w:rFonts w:ascii="Verdana" w:hAnsi="Verdana" w:cs="Times New Roman"/>
          <w:b/>
          <w:bCs/>
          <w:sz w:val="20"/>
          <w:szCs w:val="20"/>
        </w:rPr>
        <w:t>ÚNICO</w:t>
      </w:r>
    </w:p>
    <w:p w14:paraId="008FE27E" w14:textId="77777777" w:rsidR="00F7522D" w:rsidRPr="00021155" w:rsidRDefault="00F7522D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F626C27" w14:textId="1E8E65B4" w:rsidR="00643B87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ESTATUTOS DA </w:t>
      </w:r>
      <w:r w:rsidR="002A2AC2" w:rsidRPr="00021155">
        <w:rPr>
          <w:rFonts w:ascii="Verdana" w:hAnsi="Verdana" w:cs="Times New Roman"/>
          <w:b/>
          <w:bCs/>
          <w:sz w:val="20"/>
          <w:szCs w:val="20"/>
        </w:rPr>
        <w:t>AGÊNCIA</w:t>
      </w:r>
      <w:r w:rsidR="00FD45DE" w:rsidRPr="00021155">
        <w:rPr>
          <w:rFonts w:ascii="Verdana" w:hAnsi="Verdana" w:cs="Times New Roman"/>
          <w:b/>
          <w:bCs/>
          <w:sz w:val="20"/>
          <w:szCs w:val="20"/>
        </w:rPr>
        <w:t xml:space="preserve"> DO DESPORTO LIMPO DE TIMOR-LESTE</w:t>
      </w:r>
    </w:p>
    <w:p w14:paraId="66E36362" w14:textId="77777777" w:rsidR="009675CB" w:rsidRPr="00021155" w:rsidRDefault="009675CB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5E37713" w14:textId="59E63000" w:rsidR="00BF4A39" w:rsidRPr="00021155" w:rsidRDefault="00BF4A39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ECC44E4" w14:textId="6F0D1F36" w:rsidR="00BF4A39" w:rsidRPr="00021155" w:rsidRDefault="00BF4A39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CAPÍTULO I</w:t>
      </w:r>
    </w:p>
    <w:p w14:paraId="65733E7F" w14:textId="0884B097" w:rsidR="00BF4A39" w:rsidRDefault="00BF4A39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DISPOSIÇÕES </w:t>
      </w:r>
      <w:r w:rsidR="001B35F6" w:rsidRPr="00021155">
        <w:rPr>
          <w:rFonts w:ascii="Verdana" w:hAnsi="Verdana" w:cs="Times New Roman"/>
          <w:b/>
          <w:bCs/>
          <w:sz w:val="20"/>
          <w:szCs w:val="20"/>
        </w:rPr>
        <w:t>GERAIS</w:t>
      </w:r>
    </w:p>
    <w:p w14:paraId="7B959377" w14:textId="77777777" w:rsidR="009675CB" w:rsidRPr="00021155" w:rsidRDefault="009675CB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DDC01B7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3A9288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4" w:name="_Hlk106727865"/>
      <w:r w:rsidRPr="00021155">
        <w:rPr>
          <w:rFonts w:ascii="Verdana" w:hAnsi="Verdana" w:cs="Times New Roman"/>
          <w:b/>
          <w:bCs/>
          <w:sz w:val="20"/>
          <w:szCs w:val="20"/>
        </w:rPr>
        <w:t>Artigo 1.º</w:t>
      </w:r>
    </w:p>
    <w:p w14:paraId="1E146F6F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Natureza</w:t>
      </w:r>
    </w:p>
    <w:p w14:paraId="66FA03C4" w14:textId="2FEDF113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 </w:t>
      </w:r>
      <w:r w:rsidR="002C125D" w:rsidRPr="00021155">
        <w:rPr>
          <w:rFonts w:ascii="Verdana" w:hAnsi="Verdana" w:cs="Times New Roman"/>
          <w:sz w:val="20"/>
          <w:szCs w:val="20"/>
        </w:rPr>
        <w:t>Agência</w:t>
      </w:r>
      <w:r w:rsidR="00FD45DE" w:rsidRPr="00021155">
        <w:rPr>
          <w:rFonts w:ascii="Verdana" w:hAnsi="Verdana" w:cs="Times New Roman"/>
          <w:sz w:val="20"/>
          <w:szCs w:val="20"/>
        </w:rPr>
        <w:t xml:space="preserve"> do Desporto Limpo de Timor-Leste</w:t>
      </w:r>
      <w:r w:rsidRPr="00021155">
        <w:rPr>
          <w:rFonts w:ascii="Verdana" w:hAnsi="Verdana" w:cs="Times New Roman"/>
          <w:sz w:val="20"/>
          <w:szCs w:val="20"/>
        </w:rPr>
        <w:t xml:space="preserve">, abreviadamente designado de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, é uma pessoa coletiva de direito </w:t>
      </w:r>
      <w:r w:rsidR="004B4EEB" w:rsidRPr="00021155">
        <w:rPr>
          <w:rFonts w:ascii="Verdana" w:hAnsi="Verdana" w:cs="Times New Roman"/>
          <w:sz w:val="20"/>
          <w:szCs w:val="20"/>
        </w:rPr>
        <w:t>privado</w:t>
      </w:r>
      <w:r w:rsidR="009675CB">
        <w:rPr>
          <w:rFonts w:ascii="Verdana" w:hAnsi="Verdana" w:cs="Times New Roman"/>
          <w:sz w:val="20"/>
          <w:szCs w:val="20"/>
        </w:rPr>
        <w:t xml:space="preserve">, </w:t>
      </w:r>
      <w:r w:rsidRPr="00021155">
        <w:rPr>
          <w:rFonts w:ascii="Verdana" w:hAnsi="Verdana" w:cs="Times New Roman"/>
          <w:sz w:val="20"/>
          <w:szCs w:val="20"/>
        </w:rPr>
        <w:t xml:space="preserve">dotada de personalidade jurídica, autonomia administrativa e financeira e património próprio. </w:t>
      </w:r>
    </w:p>
    <w:bookmarkEnd w:id="4"/>
    <w:p w14:paraId="206F7549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EF32764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5" w:name="_Hlk106727891"/>
      <w:r w:rsidRPr="00021155">
        <w:rPr>
          <w:rFonts w:ascii="Verdana" w:hAnsi="Verdana" w:cs="Times New Roman"/>
          <w:b/>
          <w:bCs/>
          <w:sz w:val="20"/>
          <w:szCs w:val="20"/>
        </w:rPr>
        <w:t>Artigo 2º</w:t>
      </w:r>
    </w:p>
    <w:p w14:paraId="013B182D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Missão</w:t>
      </w:r>
    </w:p>
    <w:p w14:paraId="531B18BD" w14:textId="4354FC48" w:rsidR="00643B87" w:rsidRPr="00021155" w:rsidRDefault="00643B87" w:rsidP="00021155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é a organização nacional antidopagem de Timor-Leste, a qual desempenha funções relacionadas com a prevenção, controlo e luta contra a dopagem no desporto, sendo a entidade responsável pela execução do procedimento de controlo de doping.</w:t>
      </w:r>
    </w:p>
    <w:bookmarkEnd w:id="5"/>
    <w:p w14:paraId="5190F2D0" w14:textId="580726D8" w:rsidR="00643B87" w:rsidRPr="00021155" w:rsidRDefault="00643B87" w:rsidP="00021155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colabora com os organismos nacionais e internacionais com responsabilidade na luta contra a dopagem no desporto, recebendo desses mesmos organismos todas a colaboração que lhes venha a ser solicitada.</w:t>
      </w:r>
    </w:p>
    <w:p w14:paraId="40BFE6EF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D0B42B5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6" w:name="_Hlk106727905"/>
      <w:r w:rsidRPr="00021155">
        <w:rPr>
          <w:rFonts w:ascii="Verdana" w:hAnsi="Verdana" w:cs="Times New Roman"/>
          <w:b/>
          <w:bCs/>
          <w:sz w:val="20"/>
          <w:szCs w:val="20"/>
        </w:rPr>
        <w:t>Artigo 3º</w:t>
      </w:r>
    </w:p>
    <w:p w14:paraId="540AD219" w14:textId="1B4525E6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Sede</w:t>
      </w:r>
    </w:p>
    <w:p w14:paraId="3E2AF9B3" w14:textId="16461AE0" w:rsidR="00643B87" w:rsidRPr="00021155" w:rsidRDefault="00643B87" w:rsidP="00021155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tem a sua sede em</w:t>
      </w:r>
      <w:r w:rsidR="002B0B5B">
        <w:rPr>
          <w:rFonts w:ascii="Verdana" w:hAnsi="Verdana" w:cs="Times New Roman"/>
          <w:sz w:val="20"/>
          <w:szCs w:val="20"/>
        </w:rPr>
        <w:t xml:space="preserve"> Lecidere</w:t>
      </w:r>
      <w:r w:rsidR="006107EB">
        <w:rPr>
          <w:rFonts w:ascii="Verdana" w:hAnsi="Verdana" w:cs="Times New Roman"/>
          <w:sz w:val="20"/>
          <w:szCs w:val="20"/>
        </w:rPr>
        <w:t xml:space="preserve">, </w:t>
      </w:r>
      <w:r w:rsidR="00034B8D" w:rsidRPr="00021155">
        <w:rPr>
          <w:rFonts w:ascii="Verdana" w:hAnsi="Verdana" w:cs="Times New Roman"/>
          <w:sz w:val="20"/>
          <w:szCs w:val="20"/>
        </w:rPr>
        <w:t>Díli</w:t>
      </w:r>
      <w:r w:rsidRPr="00021155">
        <w:rPr>
          <w:rFonts w:ascii="Verdana" w:hAnsi="Verdana" w:cs="Times New Roman"/>
          <w:sz w:val="20"/>
          <w:szCs w:val="20"/>
        </w:rPr>
        <w:t xml:space="preserve"> e é competente para exercer as suas funções em todo o território nacional, podendo criar representações em qualquer lugar do país sempre que tal seja adequado à prossecução dos seus fins.</w:t>
      </w:r>
    </w:p>
    <w:p w14:paraId="11BA2218" w14:textId="6EFF7C30" w:rsidR="00643B87" w:rsidRPr="00021155" w:rsidRDefault="00643B87" w:rsidP="00021155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Sempre que seja solicitado pela Agência Mundial Antidopagem (AMA) ou federações internacionais, 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poderá exercer as suas funções no estrangeiro.</w:t>
      </w:r>
    </w:p>
    <w:bookmarkEnd w:id="6"/>
    <w:p w14:paraId="2CBAB2EF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6F47DB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Artigo 4º</w:t>
      </w:r>
    </w:p>
    <w:p w14:paraId="7524458B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Princípios Orientadores</w:t>
      </w:r>
    </w:p>
    <w:p w14:paraId="1BFBC23E" w14:textId="5081E955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rege-se pelos princípios da independência científica, da precaução, da credibilidade e transparência e da confidencialidade.</w:t>
      </w:r>
    </w:p>
    <w:p w14:paraId="09CBBA68" w14:textId="77777777" w:rsidR="00284B3C" w:rsidRPr="00021155" w:rsidRDefault="00284B3C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bookmarkStart w:id="7" w:name="_Hlk106727937"/>
    </w:p>
    <w:p w14:paraId="245779B9" w14:textId="56B1B41B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 w:rsidR="00284B3C" w:rsidRPr="00021155">
        <w:rPr>
          <w:rFonts w:ascii="Verdana" w:hAnsi="Verdana" w:cs="Times New Roman"/>
          <w:b/>
          <w:bCs/>
          <w:sz w:val="20"/>
          <w:szCs w:val="20"/>
        </w:rPr>
        <w:t>5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4AE586B2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Competências</w:t>
      </w:r>
    </w:p>
    <w:p w14:paraId="157DC844" w14:textId="4AC6BD32" w:rsidR="00643B87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Para além daquelas que venham a ser estabelecidas </w:t>
      </w:r>
      <w:r w:rsidR="0080517D">
        <w:rPr>
          <w:rFonts w:ascii="Verdana" w:hAnsi="Verdana" w:cs="Times New Roman"/>
          <w:sz w:val="20"/>
          <w:szCs w:val="20"/>
        </w:rPr>
        <w:t>no código mundial</w:t>
      </w:r>
      <w:r w:rsidR="00926DB7">
        <w:rPr>
          <w:rFonts w:ascii="Verdana" w:hAnsi="Verdana" w:cs="Times New Roman"/>
          <w:sz w:val="20"/>
          <w:szCs w:val="20"/>
        </w:rPr>
        <w:t xml:space="preserve"> antidopagem</w:t>
      </w:r>
      <w:r w:rsidRPr="00021155">
        <w:rPr>
          <w:rFonts w:ascii="Verdana" w:hAnsi="Verdana" w:cs="Times New Roman"/>
          <w:sz w:val="20"/>
          <w:szCs w:val="20"/>
        </w:rPr>
        <w:t xml:space="preserve">, são competências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:</w:t>
      </w:r>
    </w:p>
    <w:p w14:paraId="2B4072D9" w14:textId="1AB9B60F" w:rsidR="00316EAE" w:rsidRPr="00A37E4F" w:rsidRDefault="00316EAE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37E4F">
        <w:rPr>
          <w:rFonts w:ascii="Verdana" w:hAnsi="Verdana" w:cs="Times New Roman"/>
          <w:sz w:val="20"/>
          <w:szCs w:val="20"/>
        </w:rPr>
        <w:t>Ser    independente    nas    suas    atividades    e    decisões operacionais.</w:t>
      </w:r>
    </w:p>
    <w:p w14:paraId="5CEDEA26" w14:textId="2E18CE5C" w:rsidR="00316EAE" w:rsidRPr="00A37E4F" w:rsidRDefault="001A10AF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A10AF">
        <w:rPr>
          <w:rFonts w:ascii="Verdana" w:hAnsi="Verdana" w:cs="Times New Roman"/>
          <w:sz w:val="20"/>
          <w:szCs w:val="20"/>
        </w:rPr>
        <w:t xml:space="preserve">Adotar e implementar </w:t>
      </w:r>
      <w:r w:rsidR="00A37E4F" w:rsidRPr="001A10AF">
        <w:rPr>
          <w:rFonts w:ascii="Verdana" w:hAnsi="Verdana" w:cs="Times New Roman"/>
          <w:sz w:val="20"/>
          <w:szCs w:val="20"/>
        </w:rPr>
        <w:t>normas</w:t>
      </w:r>
      <w:r w:rsidR="00A37E4F" w:rsidRPr="00A37E4F">
        <w:rPr>
          <w:rFonts w:ascii="Verdana" w:hAnsi="Verdana" w:cs="Times New Roman"/>
          <w:sz w:val="20"/>
          <w:szCs w:val="20"/>
        </w:rPr>
        <w:t xml:space="preserve"> e regulamentos antidopagem</w:t>
      </w:r>
      <w:r w:rsidR="003620B5" w:rsidRPr="00A37E4F">
        <w:rPr>
          <w:rFonts w:ascii="Verdana" w:hAnsi="Verdana" w:cs="Times New Roman"/>
          <w:sz w:val="20"/>
          <w:szCs w:val="20"/>
        </w:rPr>
        <w:t xml:space="preserve"> que respeitem o Código.</w:t>
      </w:r>
    </w:p>
    <w:p w14:paraId="5F2B3037" w14:textId="52233375" w:rsidR="003620B5" w:rsidRPr="00A37E4F" w:rsidRDefault="003620B5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37E4F">
        <w:rPr>
          <w:rFonts w:ascii="Verdana" w:hAnsi="Verdana" w:cs="Times New Roman"/>
          <w:sz w:val="20"/>
          <w:szCs w:val="20"/>
        </w:rPr>
        <w:t>Cooperar   com   outras   organizações   e   agências   nacionais competentes e outras Organizações Antidopagem.</w:t>
      </w:r>
    </w:p>
    <w:p w14:paraId="67206A4F" w14:textId="271096D3" w:rsidR="003620B5" w:rsidRPr="00A37E4F" w:rsidRDefault="003620B5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37E4F">
        <w:rPr>
          <w:rFonts w:ascii="Verdana" w:hAnsi="Verdana" w:cs="Times New Roman"/>
          <w:sz w:val="20"/>
          <w:szCs w:val="20"/>
        </w:rPr>
        <w:t>Encorajar   a   realização   de   Controlos   recíprocos   entre   as Organizações Nacionais Antidopagem.</w:t>
      </w:r>
    </w:p>
    <w:p w14:paraId="56663B8C" w14:textId="0F016AF6" w:rsidR="003620B5" w:rsidRPr="00A37E4F" w:rsidRDefault="00126DC0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37E4F">
        <w:rPr>
          <w:rFonts w:ascii="Verdana" w:hAnsi="Verdana" w:cs="Times New Roman"/>
          <w:sz w:val="20"/>
          <w:szCs w:val="20"/>
        </w:rPr>
        <w:t>Promover a investigação em matéria de antidopagem.</w:t>
      </w:r>
    </w:p>
    <w:p w14:paraId="5C9BBBD7" w14:textId="20BDD77B" w:rsidR="00126DC0" w:rsidRPr="00A37E4F" w:rsidRDefault="00126DC0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37E4F">
        <w:rPr>
          <w:rFonts w:ascii="Verdana" w:hAnsi="Verdana" w:cs="Times New Roman"/>
          <w:sz w:val="20"/>
          <w:szCs w:val="20"/>
        </w:rPr>
        <w:t xml:space="preserve">Nos casos em que exista financiamento, interromper, no todo ou em parte, esse mesmo financiamento, durante o </w:t>
      </w:r>
      <w:r w:rsidR="002332D7" w:rsidRPr="00A37E4F">
        <w:rPr>
          <w:rFonts w:ascii="Verdana" w:hAnsi="Verdana" w:cs="Times New Roman"/>
          <w:sz w:val="20"/>
          <w:szCs w:val="20"/>
        </w:rPr>
        <w:t>período</w:t>
      </w:r>
      <w:r w:rsidRPr="00A37E4F">
        <w:rPr>
          <w:rFonts w:ascii="Verdana" w:hAnsi="Verdana" w:cs="Times New Roman"/>
          <w:sz w:val="20"/>
          <w:szCs w:val="20"/>
        </w:rPr>
        <w:t xml:space="preserve"> em   que   decorrer   a   respetiva   </w:t>
      </w:r>
      <w:r w:rsidR="001A10AF" w:rsidRPr="001A10AF">
        <w:rPr>
          <w:rFonts w:ascii="Verdana" w:hAnsi="Verdana" w:cs="Times New Roman"/>
          <w:sz w:val="20"/>
          <w:szCs w:val="20"/>
        </w:rPr>
        <w:t>Suspensão, a</w:t>
      </w:r>
      <w:r w:rsidRPr="00A37E4F">
        <w:rPr>
          <w:rFonts w:ascii="Verdana" w:hAnsi="Verdana" w:cs="Times New Roman"/>
          <w:sz w:val="20"/>
          <w:szCs w:val="20"/>
        </w:rPr>
        <w:t xml:space="preserve">   qualquer   Praticante </w:t>
      </w:r>
      <w:r w:rsidR="00A37E4F" w:rsidRPr="00A37E4F">
        <w:rPr>
          <w:rFonts w:ascii="Verdana" w:hAnsi="Verdana" w:cs="Times New Roman"/>
          <w:sz w:val="20"/>
          <w:szCs w:val="20"/>
        </w:rPr>
        <w:t>Desportivo ou Pessoal de Apoio do Praticante que tenha</w:t>
      </w:r>
      <w:r w:rsidRPr="00A37E4F">
        <w:rPr>
          <w:rFonts w:ascii="Verdana" w:hAnsi="Verdana" w:cs="Times New Roman"/>
          <w:sz w:val="20"/>
          <w:szCs w:val="20"/>
        </w:rPr>
        <w:t xml:space="preserve"> violado normas antidopagem.</w:t>
      </w:r>
    </w:p>
    <w:p w14:paraId="6C995AFB" w14:textId="10269044" w:rsidR="00585269" w:rsidRPr="00A37E4F" w:rsidRDefault="001A10AF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A10AF">
        <w:rPr>
          <w:rFonts w:ascii="Verdana" w:hAnsi="Verdana" w:cs="Times New Roman"/>
          <w:sz w:val="20"/>
          <w:szCs w:val="20"/>
        </w:rPr>
        <w:lastRenderedPageBreak/>
        <w:t xml:space="preserve">Perseguir com rigor </w:t>
      </w:r>
      <w:r w:rsidR="00A37E4F" w:rsidRPr="001A10AF">
        <w:rPr>
          <w:rFonts w:ascii="Verdana" w:hAnsi="Verdana" w:cs="Times New Roman"/>
          <w:sz w:val="20"/>
          <w:szCs w:val="20"/>
        </w:rPr>
        <w:t>qualquer</w:t>
      </w:r>
      <w:r w:rsidR="00A37E4F" w:rsidRPr="00A37E4F">
        <w:rPr>
          <w:rFonts w:ascii="Verdana" w:hAnsi="Verdana" w:cs="Times New Roman"/>
          <w:sz w:val="20"/>
          <w:szCs w:val="20"/>
        </w:rPr>
        <w:t xml:space="preserve"> possível violação de normas</w:t>
      </w:r>
      <w:r w:rsidR="00585269" w:rsidRPr="00A37E4F">
        <w:rPr>
          <w:rFonts w:ascii="Verdana" w:hAnsi="Verdana" w:cs="Times New Roman"/>
          <w:sz w:val="20"/>
          <w:szCs w:val="20"/>
        </w:rPr>
        <w:t xml:space="preserve"> antidopagem    que    se    enquadre    na    sua    </w:t>
      </w:r>
      <w:r w:rsidR="00A37E4F" w:rsidRPr="00A37E4F">
        <w:rPr>
          <w:rFonts w:ascii="Verdana" w:hAnsi="Verdana" w:cs="Times New Roman"/>
          <w:sz w:val="20"/>
          <w:szCs w:val="20"/>
        </w:rPr>
        <w:t>jurisdição,</w:t>
      </w:r>
      <w:r w:rsidR="00585269" w:rsidRPr="00A37E4F">
        <w:rPr>
          <w:rFonts w:ascii="Verdana" w:hAnsi="Verdana" w:cs="Times New Roman"/>
          <w:sz w:val="20"/>
          <w:szCs w:val="20"/>
        </w:rPr>
        <w:t xml:space="preserve"> incluindo investigações sobre se o Pessoal de Apoio do Praticante Desportivo ou outras Pessoas podem estar implicados em cada caso de dopagem e garantir a aplicação adequada das Consequências.</w:t>
      </w:r>
    </w:p>
    <w:p w14:paraId="5215485C" w14:textId="5D5D3573" w:rsidR="00585269" w:rsidRPr="00A37E4F" w:rsidRDefault="00585269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37E4F">
        <w:rPr>
          <w:rFonts w:ascii="Verdana" w:hAnsi="Verdana" w:cs="Times New Roman"/>
          <w:sz w:val="20"/>
          <w:szCs w:val="20"/>
        </w:rPr>
        <w:t>Promover a formação em matéria de antidopagem.</w:t>
      </w:r>
    </w:p>
    <w:p w14:paraId="4A06C65A" w14:textId="65C14DA4" w:rsidR="00140D15" w:rsidRPr="00A37E4F" w:rsidRDefault="00843CC9" w:rsidP="00A37E4F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37E4F">
        <w:rPr>
          <w:rFonts w:ascii="Verdana" w:hAnsi="Verdana" w:cs="Times New Roman"/>
          <w:sz w:val="20"/>
          <w:szCs w:val="20"/>
        </w:rPr>
        <w:t xml:space="preserve">Realizar uma investigação automática ao Pessoal de Apoio do </w:t>
      </w:r>
      <w:r w:rsidR="00CB0295" w:rsidRPr="00A37E4F">
        <w:rPr>
          <w:rFonts w:ascii="Verdana" w:hAnsi="Verdana" w:cs="Times New Roman"/>
          <w:sz w:val="20"/>
          <w:szCs w:val="20"/>
        </w:rPr>
        <w:t xml:space="preserve">Praticante </w:t>
      </w:r>
      <w:r w:rsidR="001A10AF" w:rsidRPr="001A10AF">
        <w:rPr>
          <w:rFonts w:ascii="Verdana" w:hAnsi="Verdana" w:cs="Times New Roman"/>
          <w:sz w:val="20"/>
          <w:szCs w:val="20"/>
        </w:rPr>
        <w:t xml:space="preserve">Desportivo no </w:t>
      </w:r>
      <w:r w:rsidR="00A37E4F" w:rsidRPr="001A10AF">
        <w:rPr>
          <w:rFonts w:ascii="Verdana" w:hAnsi="Verdana" w:cs="Times New Roman"/>
          <w:sz w:val="20"/>
          <w:szCs w:val="20"/>
        </w:rPr>
        <w:t>âmbito</w:t>
      </w:r>
      <w:r w:rsidR="00A37E4F" w:rsidRPr="00A37E4F">
        <w:rPr>
          <w:rFonts w:ascii="Verdana" w:hAnsi="Verdana" w:cs="Times New Roman"/>
          <w:sz w:val="20"/>
          <w:szCs w:val="20"/>
        </w:rPr>
        <w:t xml:space="preserve"> da sua </w:t>
      </w:r>
      <w:r w:rsidR="00EC20EF" w:rsidRPr="00A37E4F">
        <w:rPr>
          <w:rFonts w:ascii="Verdana" w:hAnsi="Verdana" w:cs="Times New Roman"/>
          <w:sz w:val="20"/>
          <w:szCs w:val="20"/>
        </w:rPr>
        <w:t>jurisdição, no</w:t>
      </w:r>
      <w:r w:rsidRPr="00A37E4F">
        <w:rPr>
          <w:rFonts w:ascii="Verdana" w:hAnsi="Verdana" w:cs="Times New Roman"/>
          <w:sz w:val="20"/>
          <w:szCs w:val="20"/>
        </w:rPr>
        <w:t xml:space="preserve"> caso de se verificar uma violação de uma norma antidopagem por parte de um Menor ou de qualquer Pessoa de Apoio do Praticante Desportivo que tenha proporcionado apoio a mais do que</w:t>
      </w:r>
      <w:r w:rsidR="00EC20EF">
        <w:rPr>
          <w:rFonts w:ascii="Verdana" w:hAnsi="Verdana" w:cs="Times New Roman"/>
          <w:sz w:val="20"/>
          <w:szCs w:val="20"/>
        </w:rPr>
        <w:t xml:space="preserve"> </w:t>
      </w:r>
      <w:r w:rsidRPr="00A37E4F">
        <w:rPr>
          <w:rFonts w:ascii="Verdana" w:hAnsi="Verdana" w:cs="Times New Roman"/>
          <w:sz w:val="20"/>
          <w:szCs w:val="20"/>
        </w:rPr>
        <w:t>um Praticante Desportivo que tenha sido considerado culpado de ter cometido uma violação de uma norma antidopagem.</w:t>
      </w:r>
    </w:p>
    <w:p w14:paraId="11D61372" w14:textId="2C7D23EE" w:rsidR="00127CD4" w:rsidRPr="00140D15" w:rsidRDefault="00FC2CCB" w:rsidP="00140D15">
      <w:pPr>
        <w:pStyle w:val="PargrafodaLista"/>
        <w:numPr>
          <w:ilvl w:val="0"/>
          <w:numId w:val="4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40D15">
        <w:rPr>
          <w:rFonts w:ascii="Verdana" w:hAnsi="Verdana" w:cs="Times New Roman"/>
          <w:sz w:val="20"/>
          <w:szCs w:val="20"/>
        </w:rPr>
        <w:t>Cooperar</w:t>
      </w:r>
      <w:r w:rsidR="00843CC9" w:rsidRPr="00140D15">
        <w:rPr>
          <w:rFonts w:ascii="Verdana" w:hAnsi="Verdana" w:cs="Times New Roman"/>
          <w:sz w:val="20"/>
          <w:szCs w:val="20"/>
        </w:rPr>
        <w:t xml:space="preserve"> plenamente com a AMA relativamente às investigações levadas a cabo por esta no âmbito do Artigo 20.7.10</w:t>
      </w:r>
      <w:r w:rsidR="00127CD4" w:rsidRPr="00140D15">
        <w:rPr>
          <w:rFonts w:ascii="Verdana" w:hAnsi="Verdana" w:cs="Times New Roman"/>
          <w:sz w:val="20"/>
          <w:szCs w:val="20"/>
        </w:rPr>
        <w:t xml:space="preserve"> do </w:t>
      </w:r>
      <w:r w:rsidR="00140D15" w:rsidRPr="00140D15">
        <w:rPr>
          <w:rFonts w:ascii="Verdana" w:hAnsi="Verdana" w:cs="Times New Roman"/>
          <w:sz w:val="20"/>
          <w:szCs w:val="20"/>
        </w:rPr>
        <w:t>Código</w:t>
      </w:r>
      <w:r w:rsidR="00127CD4" w:rsidRPr="00140D15">
        <w:rPr>
          <w:rFonts w:ascii="Verdana" w:hAnsi="Verdana" w:cs="Times New Roman"/>
          <w:sz w:val="20"/>
          <w:szCs w:val="20"/>
        </w:rPr>
        <w:t xml:space="preserve"> Mundial de</w:t>
      </w:r>
      <w:r w:rsidR="00140D15" w:rsidRPr="00140D15">
        <w:rPr>
          <w:rFonts w:ascii="Verdana" w:hAnsi="Verdana" w:cs="Times New Roman"/>
          <w:sz w:val="20"/>
          <w:szCs w:val="20"/>
        </w:rPr>
        <w:t xml:space="preserve"> Antidoping.</w:t>
      </w:r>
      <w:r w:rsidR="00E12FD2" w:rsidRPr="00140D15">
        <w:rPr>
          <w:rFonts w:ascii="Verdana" w:hAnsi="Verdana" w:cs="Times New Roman"/>
          <w:sz w:val="20"/>
          <w:szCs w:val="20"/>
        </w:rPr>
        <w:t xml:space="preserve"> </w:t>
      </w:r>
    </w:p>
    <w:bookmarkEnd w:id="7"/>
    <w:p w14:paraId="3BF40567" w14:textId="77777777" w:rsidR="00021155" w:rsidRDefault="00021155" w:rsidP="001361AD">
      <w:pPr>
        <w:pStyle w:val="PargrafodaLista"/>
        <w:rPr>
          <w:b/>
          <w:bCs/>
        </w:rPr>
      </w:pPr>
    </w:p>
    <w:p w14:paraId="38DCC7D4" w14:textId="76AF3E40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CAPÍTULO II</w:t>
      </w:r>
    </w:p>
    <w:p w14:paraId="08EAE643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ORGANIZAÇÃO INSTITUCIONAL</w:t>
      </w:r>
    </w:p>
    <w:p w14:paraId="36904E70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1DFE12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Secção I</w:t>
      </w:r>
    </w:p>
    <w:p w14:paraId="6EA8DB24" w14:textId="5D86FB50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Disposições Gerais</w:t>
      </w:r>
    </w:p>
    <w:p w14:paraId="5EEBF5C7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D40BD52" w14:textId="2DE44074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 w:rsidR="00284B3C" w:rsidRPr="00021155">
        <w:rPr>
          <w:rFonts w:ascii="Verdana" w:hAnsi="Verdana" w:cs="Times New Roman"/>
          <w:b/>
          <w:bCs/>
          <w:sz w:val="20"/>
          <w:szCs w:val="20"/>
        </w:rPr>
        <w:t>6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57ABA717" w14:textId="77777777" w:rsidR="00643B87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Órgãos e serviços</w:t>
      </w:r>
    </w:p>
    <w:p w14:paraId="649D9275" w14:textId="77777777" w:rsidR="000C21CA" w:rsidRPr="00021155" w:rsidRDefault="000C21CA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1CD911" w14:textId="56D9D900" w:rsidR="00643B87" w:rsidRPr="00021155" w:rsidRDefault="00643B87" w:rsidP="00021155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São órgãos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:</w:t>
      </w:r>
    </w:p>
    <w:p w14:paraId="7BBBFE7E" w14:textId="63C626F4" w:rsidR="00B5773B" w:rsidRPr="00021155" w:rsidRDefault="00643B87" w:rsidP="00021155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8" w:name="_Hlk106728018"/>
      <w:r w:rsidRPr="00021155">
        <w:rPr>
          <w:rFonts w:ascii="Verdana" w:hAnsi="Verdana" w:cs="Times New Roman"/>
          <w:sz w:val="20"/>
          <w:szCs w:val="20"/>
        </w:rPr>
        <w:t xml:space="preserve">O </w:t>
      </w:r>
      <w:r w:rsidR="00AA0884" w:rsidRPr="00021155">
        <w:rPr>
          <w:rFonts w:ascii="Verdana" w:hAnsi="Verdana" w:cs="Times New Roman"/>
          <w:sz w:val="20"/>
          <w:szCs w:val="20"/>
        </w:rPr>
        <w:t>Conselho Administrativo</w:t>
      </w:r>
    </w:p>
    <w:p w14:paraId="42305C20" w14:textId="11CB233A" w:rsidR="00AA0884" w:rsidRPr="00021155" w:rsidRDefault="00AA0884" w:rsidP="00021155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O Conselho Fiscal</w:t>
      </w:r>
    </w:p>
    <w:bookmarkEnd w:id="8"/>
    <w:p w14:paraId="77FBC8EB" w14:textId="77777777" w:rsidR="00643B87" w:rsidRPr="00DD16E3" w:rsidRDefault="00643B87" w:rsidP="008205FF">
      <w:pPr>
        <w:pStyle w:val="PargrafodaLista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3A75675" w14:textId="7E66AB3D" w:rsidR="00643B87" w:rsidRPr="00021155" w:rsidRDefault="00643B87" w:rsidP="00021155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9" w:name="_Hlk106728050"/>
      <w:r w:rsidRPr="00021155">
        <w:rPr>
          <w:rFonts w:ascii="Verdana" w:hAnsi="Verdana" w:cs="Times New Roman"/>
          <w:sz w:val="20"/>
          <w:szCs w:val="20"/>
        </w:rPr>
        <w:t xml:space="preserve">São serviços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:</w:t>
      </w:r>
    </w:p>
    <w:p w14:paraId="75ACB159" w14:textId="2C67579A" w:rsidR="00643B87" w:rsidRPr="00021155" w:rsidRDefault="00643B87" w:rsidP="00021155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Departamento de Controlo Antidopagem;</w:t>
      </w:r>
    </w:p>
    <w:p w14:paraId="7D1CA46E" w14:textId="33D1F3F6" w:rsidR="00643B87" w:rsidRPr="00021155" w:rsidRDefault="00643B87" w:rsidP="00021155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Departamento de Formação e Investigação.</w:t>
      </w:r>
    </w:p>
    <w:bookmarkEnd w:id="9"/>
    <w:p w14:paraId="4EDD0EF7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93EF14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Secção II</w:t>
      </w:r>
    </w:p>
    <w:p w14:paraId="73478178" w14:textId="76E9EFE1" w:rsidR="00643B87" w:rsidRPr="00021155" w:rsidRDefault="00C851F2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Conselho Administrativo</w:t>
      </w:r>
    </w:p>
    <w:p w14:paraId="193EC312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7CE415D" w14:textId="07B6FD85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 w:rsidR="00284B3C" w:rsidRPr="00021155">
        <w:rPr>
          <w:rFonts w:ascii="Verdana" w:hAnsi="Verdana" w:cs="Times New Roman"/>
          <w:b/>
          <w:bCs/>
          <w:sz w:val="20"/>
          <w:szCs w:val="20"/>
        </w:rPr>
        <w:t>7</w:t>
      </w:r>
      <w:r w:rsidRPr="00021155">
        <w:rPr>
          <w:rFonts w:ascii="Verdana" w:hAnsi="Verdana" w:cs="Times New Roman"/>
          <w:b/>
          <w:bCs/>
          <w:sz w:val="20"/>
          <w:szCs w:val="20"/>
        </w:rPr>
        <w:t>.º</w:t>
      </w:r>
    </w:p>
    <w:p w14:paraId="5EAE4C9F" w14:textId="07A48134" w:rsidR="00643B87" w:rsidRPr="00021155" w:rsidRDefault="00C851F2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Conselho Administrativo</w:t>
      </w:r>
    </w:p>
    <w:p w14:paraId="5FBE66AC" w14:textId="3681A1A2" w:rsidR="00643B87" w:rsidRPr="00021155" w:rsidRDefault="00D2434B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O Conselho Administrativo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="00643B87" w:rsidRPr="00021155">
        <w:rPr>
          <w:rFonts w:ascii="Verdana" w:hAnsi="Verdana" w:cs="Times New Roman"/>
          <w:sz w:val="20"/>
          <w:szCs w:val="20"/>
        </w:rPr>
        <w:t xml:space="preserve"> é </w:t>
      </w:r>
      <w:r w:rsidR="00B502A1" w:rsidRPr="00021155">
        <w:rPr>
          <w:rFonts w:ascii="Verdana" w:hAnsi="Verdana" w:cs="Times New Roman"/>
          <w:sz w:val="20"/>
          <w:szCs w:val="20"/>
        </w:rPr>
        <w:t>dirigido</w:t>
      </w:r>
      <w:r w:rsidR="00643B87" w:rsidRPr="00021155">
        <w:rPr>
          <w:rFonts w:ascii="Verdana" w:hAnsi="Verdana" w:cs="Times New Roman"/>
          <w:sz w:val="20"/>
          <w:szCs w:val="20"/>
        </w:rPr>
        <w:t xml:space="preserve"> por um Presidente, </w:t>
      </w:r>
      <w:r w:rsidRPr="00021155">
        <w:rPr>
          <w:rFonts w:ascii="Verdana" w:hAnsi="Verdana" w:cs="Times New Roman"/>
          <w:sz w:val="20"/>
          <w:szCs w:val="20"/>
        </w:rPr>
        <w:t>e dois vogais</w:t>
      </w:r>
      <w:r w:rsidR="00782417" w:rsidRPr="00021155">
        <w:rPr>
          <w:rFonts w:ascii="Verdana" w:hAnsi="Verdana" w:cs="Times New Roman"/>
          <w:sz w:val="20"/>
          <w:szCs w:val="20"/>
        </w:rPr>
        <w:t>,</w:t>
      </w:r>
      <w:r w:rsidRPr="00021155">
        <w:rPr>
          <w:rFonts w:ascii="Verdana" w:hAnsi="Verdana" w:cs="Times New Roman"/>
          <w:sz w:val="20"/>
          <w:szCs w:val="20"/>
        </w:rPr>
        <w:t xml:space="preserve"> </w:t>
      </w:r>
      <w:r w:rsidR="00A73948">
        <w:rPr>
          <w:rFonts w:ascii="Verdana" w:hAnsi="Verdana" w:cs="Times New Roman"/>
          <w:sz w:val="20"/>
          <w:szCs w:val="20"/>
        </w:rPr>
        <w:t>por</w:t>
      </w:r>
      <w:r w:rsidR="00894197">
        <w:rPr>
          <w:rFonts w:ascii="Verdana" w:hAnsi="Verdana" w:cs="Times New Roman"/>
          <w:sz w:val="20"/>
          <w:szCs w:val="20"/>
        </w:rPr>
        <w:t xml:space="preserve"> nomeação em conjunto </w:t>
      </w:r>
      <w:r w:rsidR="00A73948">
        <w:rPr>
          <w:rFonts w:ascii="Verdana" w:hAnsi="Verdana" w:cs="Times New Roman"/>
          <w:sz w:val="20"/>
          <w:szCs w:val="20"/>
        </w:rPr>
        <w:t>do</w:t>
      </w:r>
      <w:r w:rsidR="00894197">
        <w:rPr>
          <w:rFonts w:ascii="Verdana" w:hAnsi="Verdana" w:cs="Times New Roman"/>
          <w:sz w:val="20"/>
          <w:szCs w:val="20"/>
        </w:rPr>
        <w:t xml:space="preserve"> membro do </w:t>
      </w:r>
      <w:r w:rsidR="00A73948">
        <w:rPr>
          <w:rFonts w:ascii="Verdana" w:hAnsi="Verdana" w:cs="Times New Roman"/>
          <w:sz w:val="20"/>
          <w:szCs w:val="20"/>
        </w:rPr>
        <w:t>G</w:t>
      </w:r>
      <w:r w:rsidR="00894197">
        <w:rPr>
          <w:rFonts w:ascii="Verdana" w:hAnsi="Verdana" w:cs="Times New Roman"/>
          <w:sz w:val="20"/>
          <w:szCs w:val="20"/>
        </w:rPr>
        <w:t>overno da área do desporto e o Comité Olímpico Nacional de Timor-Leste</w:t>
      </w:r>
      <w:r w:rsidR="00A73948">
        <w:rPr>
          <w:rFonts w:ascii="Verdana" w:hAnsi="Verdana" w:cs="Times New Roman"/>
          <w:sz w:val="20"/>
          <w:szCs w:val="20"/>
        </w:rPr>
        <w:t xml:space="preserve">, e no seguimento </w:t>
      </w:r>
      <w:r w:rsidR="00E12103">
        <w:rPr>
          <w:rFonts w:ascii="Verdana" w:hAnsi="Verdana" w:cs="Times New Roman"/>
          <w:sz w:val="20"/>
          <w:szCs w:val="20"/>
        </w:rPr>
        <w:t>código mundial antidoping.</w:t>
      </w:r>
    </w:p>
    <w:p w14:paraId="61B60AF4" w14:textId="77777777" w:rsidR="00C94C72" w:rsidRPr="00021155" w:rsidRDefault="00C94C72" w:rsidP="00021155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0D31865E" w14:textId="12288912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 w:rsidR="00284B3C" w:rsidRPr="00021155">
        <w:rPr>
          <w:rFonts w:ascii="Verdana" w:hAnsi="Verdana" w:cs="Times New Roman"/>
          <w:b/>
          <w:bCs/>
          <w:sz w:val="20"/>
          <w:szCs w:val="20"/>
        </w:rPr>
        <w:t>8</w:t>
      </w:r>
      <w:r w:rsidRPr="00021155">
        <w:rPr>
          <w:rFonts w:ascii="Verdana" w:hAnsi="Verdana" w:cs="Times New Roman"/>
          <w:b/>
          <w:bCs/>
          <w:sz w:val="20"/>
          <w:szCs w:val="20"/>
        </w:rPr>
        <w:t>.º</w:t>
      </w:r>
    </w:p>
    <w:p w14:paraId="3FFC8A48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Competência do Presidente</w:t>
      </w:r>
    </w:p>
    <w:p w14:paraId="5651C698" w14:textId="62EBBD84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Sem prejuízo de todas as competências que lhe sejam atribuídas p</w:t>
      </w:r>
      <w:r w:rsidR="009F0342">
        <w:rPr>
          <w:rFonts w:ascii="Verdana" w:hAnsi="Verdana" w:cs="Times New Roman"/>
          <w:sz w:val="20"/>
          <w:szCs w:val="20"/>
        </w:rPr>
        <w:t>elo código mundial antidoping</w:t>
      </w:r>
      <w:r w:rsidRPr="00021155">
        <w:rPr>
          <w:rFonts w:ascii="Verdana" w:hAnsi="Verdana" w:cs="Times New Roman"/>
          <w:sz w:val="20"/>
          <w:szCs w:val="20"/>
        </w:rPr>
        <w:t>, compete ao Presidente:</w:t>
      </w:r>
    </w:p>
    <w:p w14:paraId="1A3C9847" w14:textId="2B5FCAF2" w:rsidR="00643B87" w:rsidRPr="00021155" w:rsidRDefault="00643B87" w:rsidP="0002115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Representar 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junto de quaisquer instituições ou organismos, nacionais ou internacionais;</w:t>
      </w:r>
    </w:p>
    <w:p w14:paraId="21AA9437" w14:textId="0DA42B6F" w:rsidR="00643B87" w:rsidRPr="00021155" w:rsidRDefault="00643B87" w:rsidP="0002115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Dirigir, coordenar e orientar os serviços, aprovando os regulamentos e normas de execução necessários ao seu regular funcionamento;</w:t>
      </w:r>
    </w:p>
    <w:p w14:paraId="2804D334" w14:textId="14F97292" w:rsidR="00643B87" w:rsidRPr="00021155" w:rsidRDefault="00643B87" w:rsidP="0002115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Aprovar e apresentar o plano e relatório de atividades anuais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;</w:t>
      </w:r>
    </w:p>
    <w:p w14:paraId="69FB9D54" w14:textId="46A18BA7" w:rsidR="00643B87" w:rsidRPr="00021155" w:rsidRDefault="00643B87" w:rsidP="0002115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Propor e decidir sobre a locação ou aquisição de bens e serviços no âmbito das competências e necessidades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;</w:t>
      </w:r>
    </w:p>
    <w:p w14:paraId="74CF8F61" w14:textId="1D5FD695" w:rsidR="00643B87" w:rsidRPr="00021155" w:rsidRDefault="00643B87" w:rsidP="0002115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Aprovar as recomendações e avisos vinculantes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, mediante parecer do diretor executivo</w:t>
      </w:r>
      <w:r w:rsidR="0015390C">
        <w:rPr>
          <w:rFonts w:ascii="Verdana" w:hAnsi="Verdana" w:cs="Times New Roman"/>
          <w:sz w:val="20"/>
          <w:szCs w:val="20"/>
        </w:rPr>
        <w:t>, que é nomeado pelo Presidente d</w:t>
      </w:r>
      <w:r w:rsidR="00E30F04">
        <w:rPr>
          <w:rFonts w:ascii="Verdana" w:hAnsi="Verdana" w:cs="Times New Roman"/>
          <w:sz w:val="20"/>
          <w:szCs w:val="20"/>
        </w:rPr>
        <w:t>a ADLTL</w:t>
      </w:r>
      <w:r w:rsidRPr="00021155">
        <w:rPr>
          <w:rFonts w:ascii="Verdana" w:hAnsi="Verdana" w:cs="Times New Roman"/>
          <w:sz w:val="20"/>
          <w:szCs w:val="20"/>
        </w:rPr>
        <w:t>;</w:t>
      </w:r>
    </w:p>
    <w:p w14:paraId="3015A02E" w14:textId="2F31EC84" w:rsidR="00643B87" w:rsidRPr="00021155" w:rsidRDefault="00643B87" w:rsidP="00021155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Exercer os demais poderes que não estejam atribuídos a outro órgão ou serviço.</w:t>
      </w:r>
    </w:p>
    <w:p w14:paraId="75215579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EA9C9B8" w14:textId="77777777" w:rsidR="0043424E" w:rsidRDefault="0043424E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5D565D7" w14:textId="77777777" w:rsidR="0043424E" w:rsidRDefault="0043424E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BD325B" w14:textId="77777777" w:rsidR="0043424E" w:rsidRDefault="0043424E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AD8F8BF" w14:textId="26B0D3E1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 w:rsidR="00284B3C" w:rsidRPr="00021155">
        <w:rPr>
          <w:rFonts w:ascii="Verdana" w:hAnsi="Verdana" w:cs="Times New Roman"/>
          <w:b/>
          <w:bCs/>
          <w:sz w:val="20"/>
          <w:szCs w:val="20"/>
        </w:rPr>
        <w:t>9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10CB7F8C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Mandato</w:t>
      </w:r>
    </w:p>
    <w:p w14:paraId="69E8CE43" w14:textId="6781FF23" w:rsidR="00643B87" w:rsidRPr="00021155" w:rsidRDefault="00643B87" w:rsidP="0002115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O mandato do Presidente tem a duração de </w:t>
      </w:r>
      <w:r w:rsidR="00D277E1" w:rsidRPr="00021155">
        <w:rPr>
          <w:rFonts w:ascii="Verdana" w:hAnsi="Verdana" w:cs="Times New Roman"/>
          <w:sz w:val="20"/>
          <w:szCs w:val="20"/>
        </w:rPr>
        <w:t>quatro</w:t>
      </w:r>
      <w:r w:rsidRPr="00021155">
        <w:rPr>
          <w:rFonts w:ascii="Verdana" w:hAnsi="Verdana" w:cs="Times New Roman"/>
          <w:sz w:val="20"/>
          <w:szCs w:val="20"/>
        </w:rPr>
        <w:t xml:space="preserve"> anos, renovável </w:t>
      </w:r>
      <w:r w:rsidR="0050288E" w:rsidRPr="00021155">
        <w:rPr>
          <w:rFonts w:ascii="Verdana" w:hAnsi="Verdana" w:cs="Times New Roman"/>
          <w:sz w:val="20"/>
          <w:szCs w:val="20"/>
        </w:rPr>
        <w:t xml:space="preserve">uma </w:t>
      </w:r>
      <w:r w:rsidR="008E1BBC" w:rsidRPr="00021155">
        <w:rPr>
          <w:rFonts w:ascii="Verdana" w:hAnsi="Verdana" w:cs="Times New Roman"/>
          <w:sz w:val="20"/>
          <w:szCs w:val="20"/>
        </w:rPr>
        <w:t>única</w:t>
      </w:r>
      <w:r w:rsidRPr="00021155">
        <w:rPr>
          <w:rFonts w:ascii="Verdana" w:hAnsi="Verdana" w:cs="Times New Roman"/>
          <w:sz w:val="20"/>
          <w:szCs w:val="20"/>
        </w:rPr>
        <w:t xml:space="preserve"> vez.</w:t>
      </w:r>
    </w:p>
    <w:p w14:paraId="141071E2" w14:textId="600DFDDC" w:rsidR="00643B87" w:rsidRPr="00021155" w:rsidRDefault="00643B87" w:rsidP="0002115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No caso de cessação do mandato, o Presidente manter-se-á em funções até que seja definitivamente substituído no cargo.</w:t>
      </w:r>
    </w:p>
    <w:p w14:paraId="55EDA9F7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C6C2CFC" w14:textId="109ECE55" w:rsidR="005444CB" w:rsidRPr="00021155" w:rsidRDefault="00155B8C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Secção II</w:t>
      </w:r>
    </w:p>
    <w:p w14:paraId="1D068169" w14:textId="77777777" w:rsidR="005444CB" w:rsidRPr="00021155" w:rsidRDefault="005444CB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Conselho Fiscal</w:t>
      </w:r>
    </w:p>
    <w:p w14:paraId="1B309D85" w14:textId="77777777" w:rsidR="00CB7FE8" w:rsidRPr="00021155" w:rsidRDefault="00CB7FE8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D9F6606" w14:textId="375E3DE3" w:rsidR="005444CB" w:rsidRPr="00021155" w:rsidRDefault="005444CB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 w:rsidR="008E1BBC" w:rsidRPr="00021155">
        <w:rPr>
          <w:rFonts w:ascii="Verdana" w:hAnsi="Verdana" w:cs="Times New Roman"/>
          <w:b/>
          <w:bCs/>
          <w:sz w:val="20"/>
          <w:szCs w:val="20"/>
        </w:rPr>
        <w:t>1</w:t>
      </w:r>
      <w:r w:rsidR="00926E6D">
        <w:rPr>
          <w:rFonts w:ascii="Verdana" w:hAnsi="Verdana" w:cs="Times New Roman"/>
          <w:b/>
          <w:bCs/>
          <w:sz w:val="20"/>
          <w:szCs w:val="20"/>
        </w:rPr>
        <w:t>0</w:t>
      </w:r>
      <w:r w:rsidRPr="00021155">
        <w:rPr>
          <w:rFonts w:ascii="Verdana" w:hAnsi="Verdana" w:cs="Times New Roman"/>
          <w:b/>
          <w:bCs/>
          <w:sz w:val="20"/>
          <w:szCs w:val="20"/>
        </w:rPr>
        <w:t>.º</w:t>
      </w:r>
    </w:p>
    <w:p w14:paraId="390E1732" w14:textId="623F2239" w:rsidR="00CB7FE8" w:rsidRPr="00021155" w:rsidRDefault="005444CB" w:rsidP="001F2E0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Composição, Competência e Funcionamento</w:t>
      </w:r>
    </w:p>
    <w:p w14:paraId="005851A7" w14:textId="7A67540C" w:rsidR="005444CB" w:rsidRPr="00021155" w:rsidRDefault="005444CB" w:rsidP="00021155">
      <w:pPr>
        <w:pStyle w:val="PargrafodaLista"/>
        <w:numPr>
          <w:ilvl w:val="3"/>
          <w:numId w:val="4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O Conselho Fiscal é constituído por três elementos, competindo-lhe fiscalizar os </w:t>
      </w:r>
      <w:r w:rsidR="000F08DE" w:rsidRPr="00021155">
        <w:rPr>
          <w:rFonts w:ascii="Verdana" w:hAnsi="Verdana" w:cs="Times New Roman"/>
          <w:sz w:val="20"/>
          <w:szCs w:val="20"/>
        </w:rPr>
        <w:t>atos</w:t>
      </w:r>
      <w:r w:rsidRPr="00021155">
        <w:rPr>
          <w:rFonts w:ascii="Verdana" w:hAnsi="Verdana" w:cs="Times New Roman"/>
          <w:sz w:val="20"/>
          <w:szCs w:val="20"/>
        </w:rPr>
        <w:t xml:space="preserve"> de administração financeira da </w:t>
      </w:r>
      <w:r w:rsidR="000F08DE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, bem como o cumprimento dos Estatutos e das disposições legais aplicáveis</w:t>
      </w:r>
      <w:r w:rsidR="004F5A7A">
        <w:rPr>
          <w:rFonts w:ascii="Verdana" w:hAnsi="Verdana" w:cs="Times New Roman"/>
          <w:sz w:val="20"/>
          <w:szCs w:val="20"/>
        </w:rPr>
        <w:t>.</w:t>
      </w:r>
    </w:p>
    <w:p w14:paraId="57412771" w14:textId="064067FD" w:rsidR="005444CB" w:rsidRPr="00021155" w:rsidRDefault="005444CB" w:rsidP="00021155">
      <w:pPr>
        <w:pStyle w:val="PargrafodaLista"/>
        <w:numPr>
          <w:ilvl w:val="3"/>
          <w:numId w:val="4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Compete, em especial, ao Conselho Fiscal:</w:t>
      </w:r>
    </w:p>
    <w:p w14:paraId="79930798" w14:textId="6FE1F74D" w:rsidR="005444CB" w:rsidRPr="00021155" w:rsidRDefault="005444CB" w:rsidP="00021155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Emitir parecer sobre o orçamento, o balanço e os documentos de prestação de contas;</w:t>
      </w:r>
    </w:p>
    <w:p w14:paraId="18974FE0" w14:textId="4AD92D1F" w:rsidR="005444CB" w:rsidRPr="00021155" w:rsidRDefault="005444CB" w:rsidP="00021155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Verificar a regularidade dos livros, registos contabilísticos e documentos que lhes servem de suporte;</w:t>
      </w:r>
    </w:p>
    <w:p w14:paraId="7FE00F60" w14:textId="39CC0F0C" w:rsidR="005444CB" w:rsidRPr="00021155" w:rsidRDefault="005444CB" w:rsidP="00021155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Acompanhar o funcionamento da </w:t>
      </w:r>
      <w:r w:rsidR="000662DF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, participando aos órgãos competentes as irregularidades financeiras de que tenha conhecimento.</w:t>
      </w:r>
    </w:p>
    <w:p w14:paraId="64C813ED" w14:textId="6DEBD56F" w:rsidR="00155B8C" w:rsidRPr="00021155" w:rsidRDefault="005444CB" w:rsidP="00021155">
      <w:pPr>
        <w:pStyle w:val="PargrafodaLista"/>
        <w:numPr>
          <w:ilvl w:val="3"/>
          <w:numId w:val="4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Os regulamentos fixarão o modo de funcionamento do Conselho Fiscal.</w:t>
      </w:r>
    </w:p>
    <w:p w14:paraId="11328A4A" w14:textId="77777777" w:rsidR="005444CB" w:rsidRPr="00021155" w:rsidRDefault="005444CB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078CB2" w14:textId="35791158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Secção I</w:t>
      </w:r>
      <w:r w:rsidR="00926E6D">
        <w:rPr>
          <w:rFonts w:ascii="Verdana" w:hAnsi="Verdana" w:cs="Times New Roman"/>
          <w:b/>
          <w:bCs/>
          <w:sz w:val="20"/>
          <w:szCs w:val="20"/>
        </w:rPr>
        <w:t>II</w:t>
      </w:r>
    </w:p>
    <w:p w14:paraId="3AAD504C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Serviços</w:t>
      </w:r>
    </w:p>
    <w:p w14:paraId="25EE3FF7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0189DBA" w14:textId="009B3BAF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Artigo 1</w:t>
      </w:r>
      <w:r w:rsidR="00AD7261">
        <w:rPr>
          <w:rFonts w:ascii="Verdana" w:hAnsi="Verdana" w:cs="Times New Roman"/>
          <w:b/>
          <w:bCs/>
          <w:sz w:val="20"/>
          <w:szCs w:val="20"/>
        </w:rPr>
        <w:t>1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2877325A" w14:textId="70D63228" w:rsidR="00643B87" w:rsidRPr="00021155" w:rsidRDefault="00643B87" w:rsidP="00D534E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Departamento de Controlo Antidopagem</w:t>
      </w:r>
    </w:p>
    <w:p w14:paraId="7FD36029" w14:textId="502DA747" w:rsidR="00643B87" w:rsidRPr="00021155" w:rsidRDefault="00643B87" w:rsidP="00021155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O Departamento de Controlo Antidopagem (DCA) é o serviço dotado de autonomia técnica e científica que tem por finalidade a elaboração e planificação dos controlos de dopagem.</w:t>
      </w:r>
    </w:p>
    <w:p w14:paraId="6B1D114F" w14:textId="58BDF22E" w:rsidR="00643B87" w:rsidRPr="00021155" w:rsidRDefault="00643B87" w:rsidP="00021155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Sem prejuízo de outras funções previstas na lei, ao DCA compete:</w:t>
      </w:r>
    </w:p>
    <w:p w14:paraId="552DECD3" w14:textId="10F84C90" w:rsidR="00643B87" w:rsidRPr="00021155" w:rsidRDefault="00643B87" w:rsidP="0002115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Executar as análises relativas ao controlo de dopagem a nível nacional ou internacional quando para tal seja solicitado;</w:t>
      </w:r>
    </w:p>
    <w:p w14:paraId="5DE32E7F" w14:textId="374CE354" w:rsidR="00643B87" w:rsidRPr="00021155" w:rsidRDefault="00643B87" w:rsidP="0002115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Executar as análises bioquímicas e afins destinadas a apoiar as ações desenvolvidas pelos organismos e entidades competentes para a preparação dos praticantes desportivas, designadamente de alto rendimento, colaborando nas ações de recolha necessárias;</w:t>
      </w:r>
    </w:p>
    <w:p w14:paraId="6F7BA1CA" w14:textId="2BF9F863" w:rsidR="00643B87" w:rsidRPr="00021155" w:rsidRDefault="00643B87" w:rsidP="0002115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Executar os protocolos celebrados entre 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e outras entidades;</w:t>
      </w:r>
    </w:p>
    <w:p w14:paraId="74FAB28C" w14:textId="725DED8C" w:rsidR="00643B87" w:rsidRPr="00021155" w:rsidRDefault="00643B87" w:rsidP="0002115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Colaborar nas ações de formação e investigação no âmbito da dopagem;</w:t>
      </w:r>
    </w:p>
    <w:p w14:paraId="50A0A1EA" w14:textId="35007CBD" w:rsidR="00643B87" w:rsidRPr="00021155" w:rsidRDefault="00643B87" w:rsidP="00021155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Gerir o sistema de localização dos praticantes desportivos incluídos nos grupos-alvos;</w:t>
      </w:r>
    </w:p>
    <w:p w14:paraId="65B8928D" w14:textId="31718D38" w:rsidR="00847B62" w:rsidRDefault="00643B87" w:rsidP="00D534EF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b/>
          <w:bCs/>
        </w:rPr>
      </w:pPr>
      <w:r w:rsidRPr="00021155">
        <w:rPr>
          <w:rFonts w:ascii="Verdana" w:hAnsi="Verdana" w:cs="Times New Roman"/>
          <w:sz w:val="20"/>
          <w:szCs w:val="20"/>
        </w:rPr>
        <w:t>Assegurar a gestão dos pedidos de autorização de uso terapêutico solicitados pelos praticantes desportivos;</w:t>
      </w:r>
    </w:p>
    <w:p w14:paraId="5D484A56" w14:textId="77777777" w:rsidR="00847B62" w:rsidRDefault="00847B62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206621D" w14:textId="5E4D4C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Artigo 1</w:t>
      </w:r>
      <w:r w:rsidR="00AD7261">
        <w:rPr>
          <w:rFonts w:ascii="Verdana" w:hAnsi="Verdana" w:cs="Times New Roman"/>
          <w:b/>
          <w:bCs/>
          <w:sz w:val="20"/>
          <w:szCs w:val="20"/>
        </w:rPr>
        <w:t>2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4C90091A" w14:textId="2ED65FAA" w:rsidR="00643B87" w:rsidRPr="00021155" w:rsidRDefault="00643B87" w:rsidP="00D534E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Departamento de Formação e Investigação</w:t>
      </w:r>
    </w:p>
    <w:p w14:paraId="4CBA0CE7" w14:textId="677D2B98" w:rsidR="00643B87" w:rsidRPr="00021155" w:rsidRDefault="00643B87" w:rsidP="00021155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O Departamento de Formação e Investigação (DFI) é o serviço responsável por promover a educação, formação e investigação científica em matéria de prevenção e combate à dopagem no desporto.</w:t>
      </w:r>
    </w:p>
    <w:p w14:paraId="188DC752" w14:textId="3FB1BBB7" w:rsidR="00643B87" w:rsidRPr="00021155" w:rsidRDefault="00643B87" w:rsidP="00021155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Sem prejuízo de outras funções previstas na lei, ao DFI compete:</w:t>
      </w:r>
    </w:p>
    <w:p w14:paraId="1224609F" w14:textId="4CDF604A" w:rsidR="00643B87" w:rsidRPr="00021155" w:rsidRDefault="00643B87" w:rsidP="00021155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Promover, dirigir e realizar atividades de investigação científica associada à prevenção, combate à dopagem e, em geral, à prática desportiva;</w:t>
      </w:r>
    </w:p>
    <w:p w14:paraId="189B6059" w14:textId="27C52BD7" w:rsidR="00643B87" w:rsidRPr="00021155" w:rsidRDefault="00643B87" w:rsidP="00021155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lastRenderedPageBreak/>
        <w:t>Valorizar e promover a transferência de conhecimento científico na área do desporto;</w:t>
      </w:r>
    </w:p>
    <w:p w14:paraId="1BCBECBC" w14:textId="2C8CD271" w:rsidR="00643B87" w:rsidRPr="00021155" w:rsidRDefault="00643B87" w:rsidP="00021155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Planear e promover atividades que visem a proteção da saúde dos praticantes desportivas, nomeadamente através da realização de estudos, exames e investigação médica e científica;</w:t>
      </w:r>
    </w:p>
    <w:p w14:paraId="794596D3" w14:textId="23953FB1" w:rsidR="00643B87" w:rsidRPr="00021155" w:rsidRDefault="00643B87" w:rsidP="00021155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Realizar atividades educativas e de sensibilização para a prevenção e combate à dopagem, nomeadamente elaborando documentos de carácter informativo ou formativo;</w:t>
      </w:r>
    </w:p>
    <w:p w14:paraId="7DB81522" w14:textId="77D04703" w:rsidR="00643B87" w:rsidRPr="00021155" w:rsidRDefault="00643B87" w:rsidP="00021155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Divulgar as atividades referidas em d) sempre que tal se mostre adequado e independentemente da sua autoria;</w:t>
      </w:r>
    </w:p>
    <w:p w14:paraId="1A0FBC8E" w14:textId="09F82651" w:rsidR="00643B87" w:rsidRPr="00021155" w:rsidRDefault="00643B87" w:rsidP="00021155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Compilar e fornecer informação atualizada e fidedigna:</w:t>
      </w:r>
    </w:p>
    <w:p w14:paraId="68C14928" w14:textId="29EAEE19" w:rsidR="00643B87" w:rsidRPr="00021155" w:rsidRDefault="00643B87" w:rsidP="00021155">
      <w:pPr>
        <w:pStyle w:val="PargrafodaLista"/>
        <w:numPr>
          <w:ilvl w:val="2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Substâncias e métodos que integram a lista de substâncias e métodos proibidos;</w:t>
      </w:r>
    </w:p>
    <w:p w14:paraId="5A207EDD" w14:textId="7A9F52EE" w:rsidR="00643B87" w:rsidRPr="00021155" w:rsidRDefault="00643B87" w:rsidP="00021155">
      <w:pPr>
        <w:pStyle w:val="PargrafodaLista"/>
        <w:numPr>
          <w:ilvl w:val="2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Direitos e responsabilidades dos praticantes desportivos e do pessoal de apoio, no âmbito da luta contra a dopagem;</w:t>
      </w:r>
    </w:p>
    <w:p w14:paraId="2BAFBD60" w14:textId="7EF64043" w:rsidR="00643B87" w:rsidRPr="00021155" w:rsidRDefault="00643B87" w:rsidP="00021155">
      <w:pPr>
        <w:pStyle w:val="PargrafodaLista"/>
        <w:numPr>
          <w:ilvl w:val="2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Consequências da dopagem sobre a saúde;</w:t>
      </w:r>
    </w:p>
    <w:p w14:paraId="1000E498" w14:textId="1B931B37" w:rsidR="00643B87" w:rsidRPr="00021155" w:rsidRDefault="00643B87" w:rsidP="00021155">
      <w:pPr>
        <w:pStyle w:val="PargrafodaLista"/>
        <w:numPr>
          <w:ilvl w:val="2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Procedimento de controlo de dopagem;</w:t>
      </w:r>
    </w:p>
    <w:p w14:paraId="0D4E5118" w14:textId="47B30F51" w:rsidR="00643B87" w:rsidRPr="00021155" w:rsidRDefault="00643B87" w:rsidP="00021155">
      <w:pPr>
        <w:pStyle w:val="PargrafodaLista"/>
        <w:numPr>
          <w:ilvl w:val="2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Suplementos nutricionais;</w:t>
      </w:r>
    </w:p>
    <w:p w14:paraId="1204FD23" w14:textId="45E5A03D" w:rsidR="00643B87" w:rsidRPr="00021155" w:rsidRDefault="00643B87" w:rsidP="00021155">
      <w:pPr>
        <w:pStyle w:val="PargrafodaLista"/>
        <w:numPr>
          <w:ilvl w:val="2"/>
          <w:numId w:val="1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Violações de normas antidopagem e respetivas sanções.</w:t>
      </w:r>
    </w:p>
    <w:p w14:paraId="324717D4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39BEE79" w14:textId="77777777" w:rsidR="001F2E02" w:rsidRDefault="001F2E02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69E4CC" w14:textId="6C6902C3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CAPÍTULO III</w:t>
      </w:r>
    </w:p>
    <w:p w14:paraId="576DB4E2" w14:textId="018F26A3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REGIME FINANCEIRO</w:t>
      </w:r>
    </w:p>
    <w:p w14:paraId="3590F7A0" w14:textId="77777777" w:rsidR="00A37497" w:rsidRPr="00021155" w:rsidRDefault="00A3749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6C1321F" w14:textId="3E85190E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Artigo 1</w:t>
      </w:r>
      <w:r w:rsidR="00827E55">
        <w:rPr>
          <w:rFonts w:ascii="Verdana" w:hAnsi="Verdana" w:cs="Times New Roman"/>
          <w:b/>
          <w:bCs/>
          <w:sz w:val="20"/>
          <w:szCs w:val="20"/>
        </w:rPr>
        <w:t>3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5CAC97F1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Receitas</w:t>
      </w:r>
    </w:p>
    <w:p w14:paraId="19A6CB54" w14:textId="3A07C393" w:rsidR="00643B87" w:rsidRPr="00021155" w:rsidRDefault="00643B87" w:rsidP="0002115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tem como receitas próprias:</w:t>
      </w:r>
    </w:p>
    <w:p w14:paraId="2ED31AAD" w14:textId="7291F610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10" w:name="_Hlk106728482"/>
      <w:r w:rsidRPr="00021155">
        <w:rPr>
          <w:rFonts w:ascii="Verdana" w:hAnsi="Verdana" w:cs="Times New Roman"/>
          <w:sz w:val="20"/>
          <w:szCs w:val="20"/>
        </w:rPr>
        <w:t>As dotações que lhe forem atribuídas pelo Orçamento do Estado;</w:t>
      </w:r>
    </w:p>
    <w:p w14:paraId="73B32B6C" w14:textId="47787FB9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As comparticipações e subsídios provenientes de entidades públicas ou privadas, nacionais, estrangeiras ou internacionais</w:t>
      </w:r>
    </w:p>
    <w:p w14:paraId="3B95C080" w14:textId="2A431B8E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As</w:t>
      </w:r>
      <w:r w:rsidR="00E94840" w:rsidRPr="00021155">
        <w:rPr>
          <w:rFonts w:ascii="Verdana" w:hAnsi="Verdana" w:cs="Times New Roman"/>
          <w:sz w:val="20"/>
          <w:szCs w:val="20"/>
        </w:rPr>
        <w:t xml:space="preserve"> </w:t>
      </w:r>
      <w:r w:rsidR="00CB7FE8" w:rsidRPr="00021155">
        <w:rPr>
          <w:rFonts w:ascii="Verdana" w:hAnsi="Verdana" w:cs="Times New Roman"/>
          <w:sz w:val="20"/>
          <w:szCs w:val="20"/>
        </w:rPr>
        <w:t>quotas</w:t>
      </w:r>
      <w:r w:rsidR="00E94840" w:rsidRPr="00021155">
        <w:rPr>
          <w:rFonts w:ascii="Verdana" w:hAnsi="Verdana" w:cs="Times New Roman"/>
          <w:sz w:val="20"/>
          <w:szCs w:val="20"/>
        </w:rPr>
        <w:t xml:space="preserve"> e</w:t>
      </w:r>
      <w:r w:rsidRPr="00021155">
        <w:rPr>
          <w:rFonts w:ascii="Verdana" w:hAnsi="Verdana" w:cs="Times New Roman"/>
          <w:sz w:val="20"/>
          <w:szCs w:val="20"/>
        </w:rPr>
        <w:t xml:space="preserve"> rendimentos resultantes da prestação de serviços, da emissão de certidões e fotocópias e de outros atos ou serviços prestados no âmbito das suas atribuições;</w:t>
      </w:r>
    </w:p>
    <w:p w14:paraId="7B06C87C" w14:textId="7F1B69C1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Os rendimentos provenientes da gestão do seu património mobiliário e imobiliário, assim como a gestão dos bens próprios e o produto da sua alienação e da constituição de direitos sobre eles;</w:t>
      </w:r>
    </w:p>
    <w:p w14:paraId="4E464305" w14:textId="1481A55A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As indemnizações, doações ou legados concedidos ou devidos, consoante os casos, por entidades públicas ou privadas, nacionais, estrangeiras ou internacionais;</w:t>
      </w:r>
    </w:p>
    <w:p w14:paraId="7885E7F6" w14:textId="131F066E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As coimas, nos termos e percentagens estabelecidos n</w:t>
      </w:r>
      <w:r w:rsidR="005D0006">
        <w:rPr>
          <w:rFonts w:ascii="Verdana" w:hAnsi="Verdana" w:cs="Times New Roman"/>
          <w:sz w:val="20"/>
          <w:szCs w:val="20"/>
        </w:rPr>
        <w:t>o código mundial de anti</w:t>
      </w:r>
      <w:r w:rsidR="00F50A2A">
        <w:rPr>
          <w:rFonts w:ascii="Verdana" w:hAnsi="Verdana" w:cs="Times New Roman"/>
          <w:sz w:val="20"/>
          <w:szCs w:val="20"/>
        </w:rPr>
        <w:t>doping</w:t>
      </w:r>
      <w:r w:rsidRPr="00021155">
        <w:rPr>
          <w:rFonts w:ascii="Verdana" w:hAnsi="Verdana" w:cs="Times New Roman"/>
          <w:sz w:val="20"/>
          <w:szCs w:val="20"/>
        </w:rPr>
        <w:t>;</w:t>
      </w:r>
    </w:p>
    <w:p w14:paraId="4420BDB4" w14:textId="2F6CF1C8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Quaisquer outras receitas provenientes de empréstimos contraídos a curto, médio ou longo prazo para a realização das suas atribuições, procedendo de autorização quando couber;</w:t>
      </w:r>
    </w:p>
    <w:p w14:paraId="371A8D9D" w14:textId="56E6A236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O produto da venda de publicações e outros bens editados ou produzidos pela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;</w:t>
      </w:r>
    </w:p>
    <w:p w14:paraId="10B7971B" w14:textId="1ECD2EE6" w:rsidR="00643B87" w:rsidRPr="00021155" w:rsidRDefault="00643B87" w:rsidP="00021155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Quaisquer outras receitas que por lei, contrato ou outro título lhe sejam atribuídas.</w:t>
      </w:r>
    </w:p>
    <w:bookmarkEnd w:id="10"/>
    <w:p w14:paraId="423D5BE1" w14:textId="77777777" w:rsidR="00847B62" w:rsidRPr="00021155" w:rsidRDefault="00847B62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392A578" w14:textId="227C8BD4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Artigo 1</w:t>
      </w:r>
      <w:r w:rsidR="001D76DB">
        <w:rPr>
          <w:rFonts w:ascii="Verdana" w:hAnsi="Verdana" w:cs="Times New Roman"/>
          <w:b/>
          <w:bCs/>
          <w:sz w:val="20"/>
          <w:szCs w:val="20"/>
        </w:rPr>
        <w:t>4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5BE2EDEB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Despesas</w:t>
      </w:r>
    </w:p>
    <w:p w14:paraId="2BCE3DFE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4C4C269" w14:textId="40DA54FB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Constituem despesas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>:</w:t>
      </w:r>
    </w:p>
    <w:p w14:paraId="7B62F42F" w14:textId="71CE90ED" w:rsidR="00643B87" w:rsidRPr="00021155" w:rsidRDefault="00643B87" w:rsidP="00021155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11" w:name="_Hlk106728508"/>
      <w:r w:rsidRPr="00021155">
        <w:rPr>
          <w:rFonts w:ascii="Verdana" w:hAnsi="Verdana" w:cs="Times New Roman"/>
          <w:sz w:val="20"/>
          <w:szCs w:val="20"/>
        </w:rPr>
        <w:t>Os encargos com o funcionamento e cumprimento das suas atribuições;</w:t>
      </w:r>
    </w:p>
    <w:p w14:paraId="1E3E9833" w14:textId="48C53047" w:rsidR="00643B87" w:rsidRPr="00021155" w:rsidRDefault="00643B87" w:rsidP="00021155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As despesas com o pessoal;</w:t>
      </w:r>
    </w:p>
    <w:p w14:paraId="6261B05F" w14:textId="12FAF7A7" w:rsidR="00643B87" w:rsidRPr="00021155" w:rsidRDefault="00643B87" w:rsidP="00021155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As despesas de deslocações, estadas e representações efetuadas pelos membros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quando ao serviço da mesma;</w:t>
      </w:r>
    </w:p>
    <w:p w14:paraId="58B8102A" w14:textId="6D98A5ED" w:rsidR="00643B87" w:rsidRPr="00021155" w:rsidRDefault="00643B87" w:rsidP="00021155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lastRenderedPageBreak/>
        <w:t>Os encargos com a aquisição de serviços de consultoria e investigação na área objeto das suas atribuições; e</w:t>
      </w:r>
    </w:p>
    <w:p w14:paraId="48302B37" w14:textId="69005A8B" w:rsidR="00643B87" w:rsidRPr="00021155" w:rsidRDefault="00643B87" w:rsidP="00021155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>Quaisquer outras despesas inerentes ao seu funcionamento;</w:t>
      </w:r>
    </w:p>
    <w:bookmarkEnd w:id="11"/>
    <w:p w14:paraId="7AF6B5EB" w14:textId="77777777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5ADE983" w14:textId="1F0D1278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Artigo 1</w:t>
      </w:r>
      <w:r w:rsidR="001D76DB">
        <w:rPr>
          <w:rFonts w:ascii="Verdana" w:hAnsi="Verdana" w:cs="Times New Roman"/>
          <w:b/>
          <w:bCs/>
          <w:sz w:val="20"/>
          <w:szCs w:val="20"/>
        </w:rPr>
        <w:t>5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5BE42B38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Orçamento</w:t>
      </w:r>
    </w:p>
    <w:p w14:paraId="64617046" w14:textId="0D347463" w:rsidR="003820D3" w:rsidRDefault="00643B87" w:rsidP="003820D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O projeto de orçamento anual da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é elaborado anualmente e </w:t>
      </w:r>
      <w:bookmarkStart w:id="12" w:name="_Hlk106728568"/>
      <w:r w:rsidRPr="00021155">
        <w:rPr>
          <w:rFonts w:ascii="Verdana" w:hAnsi="Verdana" w:cs="Times New Roman"/>
          <w:sz w:val="20"/>
          <w:szCs w:val="20"/>
        </w:rPr>
        <w:t>de forma conjunta pelos órgãos e serviços da mesma, sendo posteriormente submetido para apreciação ao Presidente</w:t>
      </w:r>
      <w:bookmarkEnd w:id="12"/>
      <w:r w:rsidR="00852F87" w:rsidRPr="00021155">
        <w:rPr>
          <w:rFonts w:ascii="Verdana" w:hAnsi="Verdana" w:cs="Times New Roman"/>
          <w:sz w:val="20"/>
          <w:szCs w:val="20"/>
        </w:rPr>
        <w:t>.</w:t>
      </w:r>
      <w:r w:rsidRPr="00021155">
        <w:rPr>
          <w:rFonts w:ascii="Verdana" w:hAnsi="Verdana" w:cs="Times New Roman"/>
          <w:sz w:val="20"/>
          <w:szCs w:val="20"/>
        </w:rPr>
        <w:t xml:space="preserve"> </w:t>
      </w:r>
    </w:p>
    <w:p w14:paraId="0DA322AA" w14:textId="77777777" w:rsidR="001D76DB" w:rsidRPr="001D76DB" w:rsidRDefault="001D76DB" w:rsidP="001D76D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815DA4F" w14:textId="6679D783" w:rsidR="00643B87" w:rsidRPr="00021155" w:rsidRDefault="00CF2025" w:rsidP="00CF2025">
      <w:pPr>
        <w:tabs>
          <w:tab w:val="left" w:pos="7157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1964B536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CAPÍTULO VI</w:t>
      </w:r>
    </w:p>
    <w:p w14:paraId="4788880C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DISPOSIÇOES FINAIS</w:t>
      </w:r>
    </w:p>
    <w:p w14:paraId="5BD80D5F" w14:textId="77777777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A85EDA0" w14:textId="24DFD05D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 xml:space="preserve">Artigo </w:t>
      </w:r>
      <w:r w:rsidR="00CF2025">
        <w:rPr>
          <w:rFonts w:ascii="Verdana" w:hAnsi="Verdana" w:cs="Times New Roman"/>
          <w:b/>
          <w:bCs/>
          <w:sz w:val="20"/>
          <w:szCs w:val="20"/>
        </w:rPr>
        <w:t>16</w:t>
      </w:r>
      <w:r w:rsidRPr="00021155">
        <w:rPr>
          <w:rFonts w:ascii="Verdana" w:hAnsi="Verdana" w:cs="Times New Roman"/>
          <w:b/>
          <w:bCs/>
          <w:sz w:val="20"/>
          <w:szCs w:val="20"/>
        </w:rPr>
        <w:t>º</w:t>
      </w:r>
    </w:p>
    <w:p w14:paraId="603EE85D" w14:textId="5E8D502E" w:rsidR="00643B87" w:rsidRPr="00021155" w:rsidRDefault="00643B87" w:rsidP="0002115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b/>
          <w:bCs/>
          <w:sz w:val="20"/>
          <w:szCs w:val="20"/>
        </w:rPr>
        <w:t>Logótipo</w:t>
      </w:r>
    </w:p>
    <w:p w14:paraId="68652A46" w14:textId="10A460F2" w:rsidR="00643B87" w:rsidRPr="00021155" w:rsidRDefault="00643B87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21155">
        <w:rPr>
          <w:rFonts w:ascii="Verdana" w:hAnsi="Verdana" w:cs="Times New Roman"/>
          <w:sz w:val="20"/>
          <w:szCs w:val="20"/>
        </w:rPr>
        <w:t xml:space="preserve">A </w:t>
      </w:r>
      <w:r w:rsidR="00F52E19" w:rsidRPr="00021155">
        <w:rPr>
          <w:rFonts w:ascii="Verdana" w:hAnsi="Verdana" w:cs="Times New Roman"/>
          <w:sz w:val="20"/>
          <w:szCs w:val="20"/>
        </w:rPr>
        <w:t>ADLTL</w:t>
      </w:r>
      <w:r w:rsidRPr="00021155">
        <w:rPr>
          <w:rFonts w:ascii="Verdana" w:hAnsi="Verdana" w:cs="Times New Roman"/>
          <w:sz w:val="20"/>
          <w:szCs w:val="20"/>
        </w:rPr>
        <w:t xml:space="preserve"> utilizará, na sua atividade, o logótipo constante do anexo I dos presentes Estatutos.</w:t>
      </w:r>
    </w:p>
    <w:p w14:paraId="01E2F18A" w14:textId="77777777" w:rsidR="00FD72A8" w:rsidRPr="00021155" w:rsidRDefault="00FD72A8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8E3AE6" w14:textId="77777777" w:rsidR="00FD72A8" w:rsidRPr="00021155" w:rsidRDefault="00FD72A8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25AEEDE" w14:textId="77777777" w:rsidR="00FD72A8" w:rsidRPr="00021155" w:rsidRDefault="00FD72A8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5F9CFEC" w14:textId="77777777" w:rsidR="00FD72A8" w:rsidRPr="00021155" w:rsidRDefault="00FD72A8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634A2D9" w14:textId="77777777" w:rsidR="001E3A89" w:rsidRPr="00021155" w:rsidRDefault="001E3A89" w:rsidP="000211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1E3A89" w:rsidRPr="0002115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8F51" w14:textId="77777777" w:rsidR="001722C8" w:rsidRDefault="001722C8" w:rsidP="00847B62">
      <w:pPr>
        <w:spacing w:after="0" w:line="240" w:lineRule="auto"/>
      </w:pPr>
      <w:r>
        <w:separator/>
      </w:r>
    </w:p>
  </w:endnote>
  <w:endnote w:type="continuationSeparator" w:id="0">
    <w:p w14:paraId="4BD7D3F2" w14:textId="77777777" w:rsidR="001722C8" w:rsidRDefault="001722C8" w:rsidP="008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895668"/>
      <w:docPartObj>
        <w:docPartGallery w:val="Page Numbers (Bottom of Page)"/>
        <w:docPartUnique/>
      </w:docPartObj>
    </w:sdtPr>
    <w:sdtEndPr/>
    <w:sdtContent>
      <w:p w14:paraId="1E1D48BD" w14:textId="34020D6A" w:rsidR="00847B62" w:rsidRDefault="00847B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E68C0" w14:textId="77777777" w:rsidR="00847B62" w:rsidRDefault="00847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254C" w14:textId="77777777" w:rsidR="001722C8" w:rsidRDefault="001722C8" w:rsidP="00847B62">
      <w:pPr>
        <w:spacing w:after="0" w:line="240" w:lineRule="auto"/>
      </w:pPr>
      <w:r>
        <w:separator/>
      </w:r>
    </w:p>
  </w:footnote>
  <w:footnote w:type="continuationSeparator" w:id="0">
    <w:p w14:paraId="6CB7DFE6" w14:textId="77777777" w:rsidR="001722C8" w:rsidRDefault="001722C8" w:rsidP="0084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39C"/>
    <w:multiLevelType w:val="hybridMultilevel"/>
    <w:tmpl w:val="A0BA82A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36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55C8"/>
    <w:multiLevelType w:val="hybridMultilevel"/>
    <w:tmpl w:val="20A80E4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840"/>
    <w:multiLevelType w:val="hybridMultilevel"/>
    <w:tmpl w:val="739A74B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7583"/>
    <w:multiLevelType w:val="hybridMultilevel"/>
    <w:tmpl w:val="EA0EA4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4621C"/>
    <w:multiLevelType w:val="hybridMultilevel"/>
    <w:tmpl w:val="554A4D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769E"/>
    <w:multiLevelType w:val="hybridMultilevel"/>
    <w:tmpl w:val="C05AF11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102C"/>
    <w:multiLevelType w:val="hybridMultilevel"/>
    <w:tmpl w:val="238E3F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BBA"/>
    <w:multiLevelType w:val="hybridMultilevel"/>
    <w:tmpl w:val="929E285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B3A96"/>
    <w:multiLevelType w:val="hybridMultilevel"/>
    <w:tmpl w:val="81F05FD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57623"/>
    <w:multiLevelType w:val="hybridMultilevel"/>
    <w:tmpl w:val="E6A00E4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0366A"/>
    <w:multiLevelType w:val="hybridMultilevel"/>
    <w:tmpl w:val="F77612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4E58"/>
    <w:multiLevelType w:val="hybridMultilevel"/>
    <w:tmpl w:val="991E9FF0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1314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51E6"/>
    <w:multiLevelType w:val="hybridMultilevel"/>
    <w:tmpl w:val="EDB28B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4B7297"/>
    <w:multiLevelType w:val="hybridMultilevel"/>
    <w:tmpl w:val="A36624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5502B9"/>
    <w:multiLevelType w:val="hybridMultilevel"/>
    <w:tmpl w:val="894CC0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B4245"/>
    <w:multiLevelType w:val="hybridMultilevel"/>
    <w:tmpl w:val="4192F61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7">
      <w:start w:val="1"/>
      <w:numFmt w:val="lowerLetter"/>
      <w:lvlText w:val="%3)"/>
      <w:lvlJc w:val="left"/>
      <w:pPr>
        <w:ind w:left="501" w:hanging="36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A79"/>
    <w:multiLevelType w:val="hybridMultilevel"/>
    <w:tmpl w:val="FE128C9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0F">
      <w:start w:val="1"/>
      <w:numFmt w:val="decimal"/>
      <w:lvlText w:val="%2."/>
      <w:lvlJc w:val="left"/>
      <w:pPr>
        <w:ind w:left="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091529"/>
    <w:multiLevelType w:val="hybridMultilevel"/>
    <w:tmpl w:val="F81CE29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64D"/>
    <w:multiLevelType w:val="hybridMultilevel"/>
    <w:tmpl w:val="523676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35AB5"/>
    <w:multiLevelType w:val="hybridMultilevel"/>
    <w:tmpl w:val="C6CC2F0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86EA5AC8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6730F2"/>
    <w:multiLevelType w:val="hybridMultilevel"/>
    <w:tmpl w:val="C2D2AC5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93FCA"/>
    <w:multiLevelType w:val="hybridMultilevel"/>
    <w:tmpl w:val="BF56FEA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EF436B"/>
    <w:multiLevelType w:val="hybridMultilevel"/>
    <w:tmpl w:val="D9762FA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452FFC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40289B"/>
    <w:multiLevelType w:val="hybridMultilevel"/>
    <w:tmpl w:val="EBBE9BE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63219"/>
    <w:multiLevelType w:val="hybridMultilevel"/>
    <w:tmpl w:val="1A6ABBE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519C7"/>
    <w:multiLevelType w:val="hybridMultilevel"/>
    <w:tmpl w:val="F0D6019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A7ACA"/>
    <w:multiLevelType w:val="hybridMultilevel"/>
    <w:tmpl w:val="0DDE3EE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252AEB"/>
    <w:multiLevelType w:val="hybridMultilevel"/>
    <w:tmpl w:val="580C44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84B85"/>
    <w:multiLevelType w:val="hybridMultilevel"/>
    <w:tmpl w:val="C220C01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057444"/>
    <w:multiLevelType w:val="hybridMultilevel"/>
    <w:tmpl w:val="6564467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8C50D4"/>
    <w:multiLevelType w:val="hybridMultilevel"/>
    <w:tmpl w:val="C62E89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36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97AEB"/>
    <w:multiLevelType w:val="hybridMultilevel"/>
    <w:tmpl w:val="DA160E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66084"/>
    <w:multiLevelType w:val="hybridMultilevel"/>
    <w:tmpl w:val="147C49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3D28A0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33D19"/>
    <w:multiLevelType w:val="hybridMultilevel"/>
    <w:tmpl w:val="6D6A15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9184F"/>
    <w:multiLevelType w:val="hybridMultilevel"/>
    <w:tmpl w:val="AE84B22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47B6E"/>
    <w:multiLevelType w:val="hybridMultilevel"/>
    <w:tmpl w:val="200610D8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B2013"/>
    <w:multiLevelType w:val="hybridMultilevel"/>
    <w:tmpl w:val="5FE410A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068D"/>
    <w:multiLevelType w:val="hybridMultilevel"/>
    <w:tmpl w:val="F1DE506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4846"/>
    <w:multiLevelType w:val="hybridMultilevel"/>
    <w:tmpl w:val="C9762E5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23C83"/>
    <w:multiLevelType w:val="hybridMultilevel"/>
    <w:tmpl w:val="6BC6E3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3B1C42"/>
    <w:multiLevelType w:val="hybridMultilevel"/>
    <w:tmpl w:val="79CE70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3D13"/>
    <w:multiLevelType w:val="hybridMultilevel"/>
    <w:tmpl w:val="B694FED0"/>
    <w:lvl w:ilvl="0" w:tplc="5C9A0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560E8"/>
    <w:multiLevelType w:val="hybridMultilevel"/>
    <w:tmpl w:val="E604C04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D6309FA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543D0"/>
    <w:multiLevelType w:val="hybridMultilevel"/>
    <w:tmpl w:val="7F02D7E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E6763"/>
    <w:multiLevelType w:val="hybridMultilevel"/>
    <w:tmpl w:val="FFC0253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F6CF4"/>
    <w:multiLevelType w:val="hybridMultilevel"/>
    <w:tmpl w:val="42D2EE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D30E1"/>
    <w:multiLevelType w:val="hybridMultilevel"/>
    <w:tmpl w:val="C3C0329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190088"/>
    <w:multiLevelType w:val="hybridMultilevel"/>
    <w:tmpl w:val="294A71B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1259">
    <w:abstractNumId w:val="6"/>
  </w:num>
  <w:num w:numId="2" w16cid:durableId="1155680106">
    <w:abstractNumId w:val="46"/>
  </w:num>
  <w:num w:numId="3" w16cid:durableId="1774133447">
    <w:abstractNumId w:val="12"/>
  </w:num>
  <w:num w:numId="4" w16cid:durableId="1017853588">
    <w:abstractNumId w:val="9"/>
  </w:num>
  <w:num w:numId="5" w16cid:durableId="1707827809">
    <w:abstractNumId w:val="42"/>
  </w:num>
  <w:num w:numId="6" w16cid:durableId="1714303502">
    <w:abstractNumId w:val="43"/>
  </w:num>
  <w:num w:numId="7" w16cid:durableId="1359355729">
    <w:abstractNumId w:val="19"/>
  </w:num>
  <w:num w:numId="8" w16cid:durableId="829251054">
    <w:abstractNumId w:val="20"/>
  </w:num>
  <w:num w:numId="9" w16cid:durableId="1956474901">
    <w:abstractNumId w:val="10"/>
  </w:num>
  <w:num w:numId="10" w16cid:durableId="749816515">
    <w:abstractNumId w:val="31"/>
  </w:num>
  <w:num w:numId="11" w16cid:durableId="809712005">
    <w:abstractNumId w:val="28"/>
  </w:num>
  <w:num w:numId="12" w16cid:durableId="381247693">
    <w:abstractNumId w:val="36"/>
  </w:num>
  <w:num w:numId="13" w16cid:durableId="642274170">
    <w:abstractNumId w:val="22"/>
  </w:num>
  <w:num w:numId="14" w16cid:durableId="1415518768">
    <w:abstractNumId w:val="37"/>
  </w:num>
  <w:num w:numId="15" w16cid:durableId="1225532848">
    <w:abstractNumId w:val="8"/>
  </w:num>
  <w:num w:numId="16" w16cid:durableId="657728373">
    <w:abstractNumId w:val="44"/>
  </w:num>
  <w:num w:numId="17" w16cid:durableId="1662931063">
    <w:abstractNumId w:val="17"/>
  </w:num>
  <w:num w:numId="18" w16cid:durableId="1564411049">
    <w:abstractNumId w:val="2"/>
  </w:num>
  <w:num w:numId="19" w16cid:durableId="111024730">
    <w:abstractNumId w:val="11"/>
  </w:num>
  <w:num w:numId="20" w16cid:durableId="1620212253">
    <w:abstractNumId w:val="3"/>
  </w:num>
  <w:num w:numId="21" w16cid:durableId="2093547995">
    <w:abstractNumId w:val="29"/>
  </w:num>
  <w:num w:numId="22" w16cid:durableId="91517123">
    <w:abstractNumId w:val="15"/>
  </w:num>
  <w:num w:numId="23" w16cid:durableId="64568867">
    <w:abstractNumId w:val="1"/>
  </w:num>
  <w:num w:numId="24" w16cid:durableId="1098869050">
    <w:abstractNumId w:val="13"/>
  </w:num>
  <w:num w:numId="25" w16cid:durableId="2142338186">
    <w:abstractNumId w:val="47"/>
  </w:num>
  <w:num w:numId="26" w16cid:durableId="2029062619">
    <w:abstractNumId w:val="23"/>
  </w:num>
  <w:num w:numId="27" w16cid:durableId="1701589823">
    <w:abstractNumId w:val="18"/>
  </w:num>
  <w:num w:numId="28" w16cid:durableId="1542129278">
    <w:abstractNumId w:val="27"/>
  </w:num>
  <w:num w:numId="29" w16cid:durableId="903878404">
    <w:abstractNumId w:val="16"/>
  </w:num>
  <w:num w:numId="30" w16cid:durableId="1353530219">
    <w:abstractNumId w:val="25"/>
  </w:num>
  <w:num w:numId="31" w16cid:durableId="1921016357">
    <w:abstractNumId w:val="32"/>
  </w:num>
  <w:num w:numId="32" w16cid:durableId="1755206567">
    <w:abstractNumId w:val="38"/>
  </w:num>
  <w:num w:numId="33" w16cid:durableId="1036807917">
    <w:abstractNumId w:val="24"/>
  </w:num>
  <w:num w:numId="34" w16cid:durableId="355542664">
    <w:abstractNumId w:val="45"/>
  </w:num>
  <w:num w:numId="35" w16cid:durableId="2062316546">
    <w:abstractNumId w:val="26"/>
  </w:num>
  <w:num w:numId="36" w16cid:durableId="79446810">
    <w:abstractNumId w:val="4"/>
  </w:num>
  <w:num w:numId="37" w16cid:durableId="1894198519">
    <w:abstractNumId w:val="21"/>
  </w:num>
  <w:num w:numId="38" w16cid:durableId="1952779413">
    <w:abstractNumId w:val="33"/>
  </w:num>
  <w:num w:numId="39" w16cid:durableId="1567909034">
    <w:abstractNumId w:val="5"/>
  </w:num>
  <w:num w:numId="40" w16cid:durableId="1297444537">
    <w:abstractNumId w:val="7"/>
  </w:num>
  <w:num w:numId="41" w16cid:durableId="1399521945">
    <w:abstractNumId w:val="30"/>
  </w:num>
  <w:num w:numId="42" w16cid:durableId="995642365">
    <w:abstractNumId w:val="39"/>
  </w:num>
  <w:num w:numId="43" w16cid:durableId="1175224047">
    <w:abstractNumId w:val="34"/>
  </w:num>
  <w:num w:numId="44" w16cid:durableId="1587108893">
    <w:abstractNumId w:val="0"/>
  </w:num>
  <w:num w:numId="45" w16cid:durableId="2125148285">
    <w:abstractNumId w:val="40"/>
  </w:num>
  <w:num w:numId="46" w16cid:durableId="37247190">
    <w:abstractNumId w:val="14"/>
  </w:num>
  <w:num w:numId="47" w16cid:durableId="1392118121">
    <w:abstractNumId w:val="41"/>
  </w:num>
  <w:num w:numId="48" w16cid:durableId="808086621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87"/>
    <w:rsid w:val="0000115C"/>
    <w:rsid w:val="0000751A"/>
    <w:rsid w:val="00021155"/>
    <w:rsid w:val="00026AA3"/>
    <w:rsid w:val="00034B8D"/>
    <w:rsid w:val="00052157"/>
    <w:rsid w:val="00063B47"/>
    <w:rsid w:val="000662DF"/>
    <w:rsid w:val="00075D2A"/>
    <w:rsid w:val="000806C6"/>
    <w:rsid w:val="00095DAB"/>
    <w:rsid w:val="000A77AB"/>
    <w:rsid w:val="000B397A"/>
    <w:rsid w:val="000C21CA"/>
    <w:rsid w:val="000D2FA2"/>
    <w:rsid w:val="000E349B"/>
    <w:rsid w:val="000F08DE"/>
    <w:rsid w:val="00125FEB"/>
    <w:rsid w:val="00126DC0"/>
    <w:rsid w:val="00127CD4"/>
    <w:rsid w:val="001361AD"/>
    <w:rsid w:val="00137D0E"/>
    <w:rsid w:val="00140D15"/>
    <w:rsid w:val="001467F6"/>
    <w:rsid w:val="0015390C"/>
    <w:rsid w:val="00155B8C"/>
    <w:rsid w:val="001562C1"/>
    <w:rsid w:val="00167B83"/>
    <w:rsid w:val="001722C8"/>
    <w:rsid w:val="00177A9A"/>
    <w:rsid w:val="00184F0A"/>
    <w:rsid w:val="00186732"/>
    <w:rsid w:val="00186784"/>
    <w:rsid w:val="00186DF7"/>
    <w:rsid w:val="001939AE"/>
    <w:rsid w:val="001A10AF"/>
    <w:rsid w:val="001A62B0"/>
    <w:rsid w:val="001B35F6"/>
    <w:rsid w:val="001B42F2"/>
    <w:rsid w:val="001C41FC"/>
    <w:rsid w:val="001D5030"/>
    <w:rsid w:val="001D76DB"/>
    <w:rsid w:val="001D7AFE"/>
    <w:rsid w:val="001E3A89"/>
    <w:rsid w:val="001F2E02"/>
    <w:rsid w:val="001F6D22"/>
    <w:rsid w:val="002332D7"/>
    <w:rsid w:val="0023337A"/>
    <w:rsid w:val="00234C4B"/>
    <w:rsid w:val="002519DA"/>
    <w:rsid w:val="0025570D"/>
    <w:rsid w:val="00270F6B"/>
    <w:rsid w:val="00271084"/>
    <w:rsid w:val="00284B3C"/>
    <w:rsid w:val="002A2AC2"/>
    <w:rsid w:val="002A2C41"/>
    <w:rsid w:val="002A5D99"/>
    <w:rsid w:val="002A7394"/>
    <w:rsid w:val="002B0B5B"/>
    <w:rsid w:val="002B3942"/>
    <w:rsid w:val="002C125D"/>
    <w:rsid w:val="002C3C29"/>
    <w:rsid w:val="002C3E7D"/>
    <w:rsid w:val="002E039D"/>
    <w:rsid w:val="002E05B1"/>
    <w:rsid w:val="003053C8"/>
    <w:rsid w:val="00316EAE"/>
    <w:rsid w:val="0033359F"/>
    <w:rsid w:val="003620B5"/>
    <w:rsid w:val="003671E4"/>
    <w:rsid w:val="00371F50"/>
    <w:rsid w:val="003804A2"/>
    <w:rsid w:val="003820D3"/>
    <w:rsid w:val="00383F2A"/>
    <w:rsid w:val="00387EB7"/>
    <w:rsid w:val="003A5E09"/>
    <w:rsid w:val="003A633C"/>
    <w:rsid w:val="003B43A3"/>
    <w:rsid w:val="003D03FB"/>
    <w:rsid w:val="003D463C"/>
    <w:rsid w:val="0043424E"/>
    <w:rsid w:val="004402B4"/>
    <w:rsid w:val="0044559E"/>
    <w:rsid w:val="004514DD"/>
    <w:rsid w:val="004705BE"/>
    <w:rsid w:val="00482528"/>
    <w:rsid w:val="0049163A"/>
    <w:rsid w:val="004963CD"/>
    <w:rsid w:val="004B4EEB"/>
    <w:rsid w:val="004C49A6"/>
    <w:rsid w:val="004D6E63"/>
    <w:rsid w:val="004E54A3"/>
    <w:rsid w:val="004F5A7A"/>
    <w:rsid w:val="0050288E"/>
    <w:rsid w:val="0052584E"/>
    <w:rsid w:val="00526413"/>
    <w:rsid w:val="005444CB"/>
    <w:rsid w:val="00564FE2"/>
    <w:rsid w:val="00573068"/>
    <w:rsid w:val="00585269"/>
    <w:rsid w:val="005B3EDA"/>
    <w:rsid w:val="005B5691"/>
    <w:rsid w:val="005D0006"/>
    <w:rsid w:val="005E5E7E"/>
    <w:rsid w:val="00607C41"/>
    <w:rsid w:val="006107EB"/>
    <w:rsid w:val="0062606E"/>
    <w:rsid w:val="0062722A"/>
    <w:rsid w:val="00635052"/>
    <w:rsid w:val="00636D92"/>
    <w:rsid w:val="006373D8"/>
    <w:rsid w:val="00643B87"/>
    <w:rsid w:val="00650F8C"/>
    <w:rsid w:val="0066498F"/>
    <w:rsid w:val="00672A52"/>
    <w:rsid w:val="00685984"/>
    <w:rsid w:val="0069447E"/>
    <w:rsid w:val="006A60B3"/>
    <w:rsid w:val="006B1C2A"/>
    <w:rsid w:val="006B5373"/>
    <w:rsid w:val="006C28B9"/>
    <w:rsid w:val="006E1E4A"/>
    <w:rsid w:val="006F2383"/>
    <w:rsid w:val="0070744E"/>
    <w:rsid w:val="00715182"/>
    <w:rsid w:val="007162B2"/>
    <w:rsid w:val="00742434"/>
    <w:rsid w:val="00782417"/>
    <w:rsid w:val="007877B3"/>
    <w:rsid w:val="007B21BC"/>
    <w:rsid w:val="007F5CD8"/>
    <w:rsid w:val="0080517D"/>
    <w:rsid w:val="008107D1"/>
    <w:rsid w:val="008205FF"/>
    <w:rsid w:val="00827E55"/>
    <w:rsid w:val="00843CC9"/>
    <w:rsid w:val="00847B62"/>
    <w:rsid w:val="00852F87"/>
    <w:rsid w:val="00876842"/>
    <w:rsid w:val="00882681"/>
    <w:rsid w:val="00882A88"/>
    <w:rsid w:val="00893584"/>
    <w:rsid w:val="00894197"/>
    <w:rsid w:val="008A6065"/>
    <w:rsid w:val="008B724A"/>
    <w:rsid w:val="008C2F35"/>
    <w:rsid w:val="008C7F02"/>
    <w:rsid w:val="008D13CC"/>
    <w:rsid w:val="008E1BBC"/>
    <w:rsid w:val="00926DB7"/>
    <w:rsid w:val="00926E6D"/>
    <w:rsid w:val="00937AF8"/>
    <w:rsid w:val="009466D4"/>
    <w:rsid w:val="00952BD3"/>
    <w:rsid w:val="009675CB"/>
    <w:rsid w:val="00990DBE"/>
    <w:rsid w:val="00993C67"/>
    <w:rsid w:val="00995837"/>
    <w:rsid w:val="009A08FA"/>
    <w:rsid w:val="009A2B97"/>
    <w:rsid w:val="009B076A"/>
    <w:rsid w:val="009B792D"/>
    <w:rsid w:val="009C6815"/>
    <w:rsid w:val="009D4390"/>
    <w:rsid w:val="009E204F"/>
    <w:rsid w:val="009E5596"/>
    <w:rsid w:val="009E563D"/>
    <w:rsid w:val="009F0342"/>
    <w:rsid w:val="009F4908"/>
    <w:rsid w:val="00A256D0"/>
    <w:rsid w:val="00A2606E"/>
    <w:rsid w:val="00A37497"/>
    <w:rsid w:val="00A37E4F"/>
    <w:rsid w:val="00A41FD1"/>
    <w:rsid w:val="00A5432D"/>
    <w:rsid w:val="00A63135"/>
    <w:rsid w:val="00A70006"/>
    <w:rsid w:val="00A73948"/>
    <w:rsid w:val="00A85669"/>
    <w:rsid w:val="00A95D13"/>
    <w:rsid w:val="00AA0884"/>
    <w:rsid w:val="00AB2298"/>
    <w:rsid w:val="00AB4719"/>
    <w:rsid w:val="00AC0E77"/>
    <w:rsid w:val="00AC1FBF"/>
    <w:rsid w:val="00AC4496"/>
    <w:rsid w:val="00AD5B39"/>
    <w:rsid w:val="00AD7261"/>
    <w:rsid w:val="00AF42BF"/>
    <w:rsid w:val="00B10898"/>
    <w:rsid w:val="00B23E4E"/>
    <w:rsid w:val="00B34D12"/>
    <w:rsid w:val="00B502A1"/>
    <w:rsid w:val="00B5773B"/>
    <w:rsid w:val="00B7160A"/>
    <w:rsid w:val="00B80799"/>
    <w:rsid w:val="00B83F3E"/>
    <w:rsid w:val="00B8732B"/>
    <w:rsid w:val="00B933D2"/>
    <w:rsid w:val="00B953C0"/>
    <w:rsid w:val="00BA60EA"/>
    <w:rsid w:val="00BC4056"/>
    <w:rsid w:val="00BD24FC"/>
    <w:rsid w:val="00BF4A39"/>
    <w:rsid w:val="00C041D4"/>
    <w:rsid w:val="00C06562"/>
    <w:rsid w:val="00C2254F"/>
    <w:rsid w:val="00C3637E"/>
    <w:rsid w:val="00C42FD2"/>
    <w:rsid w:val="00C55602"/>
    <w:rsid w:val="00C70F8B"/>
    <w:rsid w:val="00C851F2"/>
    <w:rsid w:val="00C86F1A"/>
    <w:rsid w:val="00C94C72"/>
    <w:rsid w:val="00CB0295"/>
    <w:rsid w:val="00CB5293"/>
    <w:rsid w:val="00CB7FE8"/>
    <w:rsid w:val="00CC0868"/>
    <w:rsid w:val="00CC34ED"/>
    <w:rsid w:val="00CD1015"/>
    <w:rsid w:val="00CE2B61"/>
    <w:rsid w:val="00CE7D37"/>
    <w:rsid w:val="00CF2025"/>
    <w:rsid w:val="00CF4FDE"/>
    <w:rsid w:val="00CF7434"/>
    <w:rsid w:val="00D2434B"/>
    <w:rsid w:val="00D277E1"/>
    <w:rsid w:val="00D41071"/>
    <w:rsid w:val="00D534EF"/>
    <w:rsid w:val="00D614F9"/>
    <w:rsid w:val="00D62421"/>
    <w:rsid w:val="00D7107D"/>
    <w:rsid w:val="00DA1262"/>
    <w:rsid w:val="00DA5B7D"/>
    <w:rsid w:val="00DA5FE8"/>
    <w:rsid w:val="00DB0BB3"/>
    <w:rsid w:val="00DB5944"/>
    <w:rsid w:val="00DD16E3"/>
    <w:rsid w:val="00E03D59"/>
    <w:rsid w:val="00E12103"/>
    <w:rsid w:val="00E12FD2"/>
    <w:rsid w:val="00E16116"/>
    <w:rsid w:val="00E27DC3"/>
    <w:rsid w:val="00E30F04"/>
    <w:rsid w:val="00E44897"/>
    <w:rsid w:val="00E508BA"/>
    <w:rsid w:val="00E52E09"/>
    <w:rsid w:val="00E573A5"/>
    <w:rsid w:val="00E712A3"/>
    <w:rsid w:val="00E8232D"/>
    <w:rsid w:val="00E94840"/>
    <w:rsid w:val="00E95E8C"/>
    <w:rsid w:val="00E97D58"/>
    <w:rsid w:val="00EA52A6"/>
    <w:rsid w:val="00EB473B"/>
    <w:rsid w:val="00EC20EF"/>
    <w:rsid w:val="00F317D7"/>
    <w:rsid w:val="00F324EE"/>
    <w:rsid w:val="00F36A89"/>
    <w:rsid w:val="00F50A2A"/>
    <w:rsid w:val="00F52E19"/>
    <w:rsid w:val="00F536AF"/>
    <w:rsid w:val="00F537D1"/>
    <w:rsid w:val="00F5577A"/>
    <w:rsid w:val="00F63067"/>
    <w:rsid w:val="00F73B39"/>
    <w:rsid w:val="00F7522D"/>
    <w:rsid w:val="00F9692C"/>
    <w:rsid w:val="00FB22C1"/>
    <w:rsid w:val="00FB44F2"/>
    <w:rsid w:val="00FC2CCB"/>
    <w:rsid w:val="00FD45DE"/>
    <w:rsid w:val="00FD6F7E"/>
    <w:rsid w:val="00FD72A8"/>
    <w:rsid w:val="00FE0200"/>
    <w:rsid w:val="00FE062A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BB64"/>
  <w15:chartTrackingRefBased/>
  <w15:docId w15:val="{D5AEF089-F881-4A40-A8E3-9E19485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5596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1518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1518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1518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1518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1518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9583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847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7B62"/>
  </w:style>
  <w:style w:type="paragraph" w:styleId="Rodap">
    <w:name w:val="footer"/>
    <w:basedOn w:val="Normal"/>
    <w:link w:val="RodapCarter"/>
    <w:uiPriority w:val="99"/>
    <w:unhideWhenUsed/>
    <w:rsid w:val="00847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2283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Silva</dc:creator>
  <cp:keywords/>
  <dc:description/>
  <cp:lastModifiedBy>Nelson Ricardo Pereira Silva</cp:lastModifiedBy>
  <cp:revision>11</cp:revision>
  <cp:lastPrinted>2024-02-29T23:37:00Z</cp:lastPrinted>
  <dcterms:created xsi:type="dcterms:W3CDTF">2024-04-11T02:29:00Z</dcterms:created>
  <dcterms:modified xsi:type="dcterms:W3CDTF">2024-04-11T02:44:00Z</dcterms:modified>
</cp:coreProperties>
</file>